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440"/>
        <w:jc w:val="center"/>
      </w:pPr>
      <w:r>
        <w:rPr>
          <w:rFonts w:ascii="Arial" w:cs="Arial" w:eastAsia="Arial" w:hAnsi="Arial"/>
          <w:b/>
          <w:bCs/>
          <w:color w:val="1A3C6E"/>
          <w:sz w:val="52"/>
          <w:szCs w:val="52"/>
        </w:rPr>
        <w:t xml:space="preserve">CLARIAN FINANCE</w:t>
      </w:r>
    </w:p>
    <w:p>
      <w:pPr>
        <w:spacing w:after="80" w:before="0"/>
        <w:jc w:val="center"/>
      </w:pPr>
      <w:r>
        <w:rPr>
          <w:rFonts w:ascii="Arial" w:cs="Arial" w:eastAsia="Arial" w:hAnsi="Arial"/>
          <w:color w:val="4A7AB5"/>
          <w:sz w:val="28"/>
          <w:szCs w:val="28"/>
        </w:rPr>
        <w:t xml:space="preserve">Hub de Serviços Financeiros</w:t>
      </w:r>
    </w:p>
    <w:p>
      <w:pPr>
        <w:spacing w:after="80" w:before="0"/>
        <w:jc w:val="center"/>
      </w:pPr>
      <w:r>
        <w:rPr>
          <w:rFonts w:ascii="Arial" w:cs="Arial" w:eastAsia="Arial" w:hAnsi="Arial"/>
          <w:i/>
          <w:iCs/>
          <w:color w:val="4A7AB5"/>
          <w:sz w:val="22"/>
          <w:szCs w:val="22"/>
        </w:rPr>
        <w:t xml:space="preserve">clarian.finance</w:t>
      </w:r>
    </w:p>
    <w:p>
      <w:pPr>
        <w:pBdr>
          <w:top w:val="single" w:color="1A3C6E" w:sz="6" w:space="6"/>
          <w:bottom w:val="single" w:color="1A3C6E" w:sz="6" w:space="6"/>
        </w:pBdr>
        <w:spacing w:after="240" w:before="240"/>
        <w:jc w:val="center"/>
      </w:pPr>
      <w:r>
        <w:rPr>
          <w:rFonts w:ascii="Arial" w:cs="Arial" w:eastAsia="Arial" w:hAnsi="Arial"/>
          <w:b/>
          <w:bCs/>
          <w:color w:val="1A3C6E"/>
          <w:sz w:val="32"/>
          <w:szCs w:val="32"/>
        </w:rPr>
        <w:t xml:space="preserve">TERMOS DE USO E CONDIÇÕES GERAIS DE CONTRATAÇÃO</w:t>
      </w:r>
    </w:p>
    <w:p>
      <w:pPr>
        <w:spacing w:after="80" w:before="120"/>
        <w:jc w:val="center"/>
      </w:pPr>
      <w:r>
        <w:rPr>
          <w:rFonts w:ascii="Arial" w:cs="Arial" w:eastAsia="Arial" w:hAnsi="Arial"/>
          <w:color w:val="555555"/>
          <w:sz w:val="20"/>
          <w:szCs w:val="20"/>
        </w:rPr>
        <w:t xml:space="preserve">Versão 1.0  |  Vigência: Janeiro de 2025</w:t>
      </w:r>
    </w:p>
    <w:p>
      <w:pPr>
        <w:spacing w:after="80" w:before="0"/>
        <w:jc w:val="center"/>
      </w:pPr>
      <w:r>
        <w:rPr>
          <w:rFonts w:ascii="Arial" w:cs="Arial" w:eastAsia="Arial" w:hAnsi="Arial"/>
          <w:i/>
          <w:iCs/>
          <w:color w:val="555555"/>
          <w:sz w:val="18"/>
          <w:szCs w:val="18"/>
        </w:rPr>
        <w:t xml:space="preserve">Leia atentamente antes de utilizar os serviços da Clarian Finance.</w:t>
      </w:r>
    </w:p>
    <w:p>
      <w:pPr>
        <w:spacing w:after="60" w:before="60"/>
      </w:pPr>
      <w:r>
        <w:t xml:space="preserve"/>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1. Apresentação e Aceitação dos Termos</w:t>
      </w:r>
    </w:p>
    <w:p>
      <w:pPr>
        <w:spacing w:after="80" w:before="80" w:line="276"/>
        <w:jc w:val="both"/>
      </w:pPr>
      <w:r>
        <w:rPr>
          <w:rFonts w:ascii="Arial" w:cs="Arial" w:eastAsia="Arial" w:hAnsi="Arial"/>
          <w:color w:val="555555"/>
          <w:sz w:val="22"/>
          <w:szCs w:val="22"/>
        </w:rPr>
        <w:t xml:space="preserve">Bem-vindo à Clarian Finance, hub de serviços financeiros que oferece soluções integradas de gateway de pagamentos, carteiras digitais de criptoativos (crypto wallets), contas bancárias digitais (Banking as a Service – BaaS), stablecoins e remessas internacionais, disponíveis em clarian.finance e por meio de integrações via API.</w:t>
      </w:r>
    </w:p>
    <w:p>
      <w:pPr>
        <w:spacing w:after="80" w:before="80" w:line="276"/>
        <w:jc w:val="both"/>
      </w:pPr>
      <w:r>
        <w:rPr>
          <w:rFonts w:ascii="Arial" w:cs="Arial" w:eastAsia="Arial" w:hAnsi="Arial"/>
          <w:color w:val="555555"/>
          <w:sz w:val="22"/>
          <w:szCs w:val="22"/>
        </w:rPr>
        <w:t xml:space="preserve">Estes Termos de Uso e Condições Gerais de Contratação (doravante "Termos") regulam a relação jurídica entre a Clarian Finance ("Clarian", "nós" ou "Plataforma") e qualquer pessoa física ou jurídica ("Usuário", "você" ou "Cliente") que acesse, cadastre-se ou utilize, a qualquer título, os serviços oferecidos.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C350" w:sz="8"/>
              <w:left w:val="single" w:color="E6C350" w:sz="8"/>
              <w:bottom w:val="single" w:color="E6C350" w:sz="8"/>
              <w:right w:val="single" w:color="E6C350" w:sz="8"/>
            </w:tcBorders>
            <w:shd w:fill="FFF8E1" w:val="clear"/>
            <w:tcMar>
              <w:top w:type="dxa" w:w="120"/>
              <w:left w:type="dxa" w:w="200"/>
              <w:bottom w:type="dxa" w:w="120"/>
              <w:right w:type="dxa" w:w="200"/>
            </w:tcMar>
          </w:tcPr>
          <w:p>
            <w:pPr>
              <w:jc w:val="both"/>
            </w:pPr>
            <w:r>
              <w:rPr>
                <w:rFonts w:ascii="Arial" w:cs="Arial" w:eastAsia="Arial" w:hAnsi="Arial"/>
                <w:b/>
                <w:bCs/>
                <w:color w:val="7A4F00"/>
                <w:sz w:val="20"/>
                <w:szCs w:val="20"/>
              </w:rPr>
              <w:t xml:space="preserve">⚠️  AO CLICAR EM "ACEITO", ACESSAR OU UTILIZAR QUALQUER SERVIÇO DA CLARIAN FINANCE, O USUÁRIO DECLARA TER LIDO, COMPREENDIDO E CONCORDADO INTEGRALMENTE COM ESTES TERMOS. CASO NÃO CONCORDE, NÃO UTILIZE OS SERVIÇOS.</w:t>
            </w:r>
          </w:p>
        </w:tc>
      </w:tr>
    </w:tbl>
    <w:p>
      <w:pPr>
        <w:spacing w:after="60" w:before="60"/>
      </w:pPr>
      <w:r>
        <w:t xml:space="preserve"/>
      </w:r>
    </w:p>
    <w:p>
      <w:pPr>
        <w:spacing w:after="80" w:before="80" w:line="276"/>
        <w:jc w:val="both"/>
      </w:pPr>
      <w:r>
        <w:rPr>
          <w:rFonts w:ascii="Arial" w:cs="Arial" w:eastAsia="Arial" w:hAnsi="Arial"/>
          <w:color w:val="555555"/>
          <w:sz w:val="22"/>
          <w:szCs w:val="22"/>
        </w:rPr>
        <w:t xml:space="preserve">A relação entre a Clarian e seus Usuários é regida também pela Política de Privacidade, pela Política de Segurança e demais documentos disponíveis em clarian.finance, que integram estes Termos por referência.</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2. Definições</w:t>
      </w:r>
    </w:p>
    <w:p>
      <w:pPr>
        <w:spacing w:after="80" w:before="80" w:line="276"/>
        <w:jc w:val="both"/>
      </w:pPr>
      <w:r>
        <w:rPr>
          <w:rFonts w:ascii="Arial" w:cs="Arial" w:eastAsia="Arial" w:hAnsi="Arial"/>
          <w:color w:val="555555"/>
          <w:sz w:val="22"/>
          <w:szCs w:val="22"/>
        </w:rPr>
        <w:t xml:space="preserve">Para fins destes Termos, aplicam-se as seguintes definições: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5D8F0" w:sz="1"/>
              <w:left w:val="single" w:color="C5D8F0" w:sz="1"/>
              <w:bottom w:val="single" w:color="C5D8F0" w:sz="1"/>
              <w:right w:val="single" w:color="C5D8F0" w:sz="1"/>
            </w:tcBorders>
            <w:shd w:fill="1A3C6E" w:val="clear"/>
            <w:tcMar>
              <w:top w:type="dxa" w:w="80"/>
              <w:left w:type="dxa" w:w="140"/>
              <w:bottom w:type="dxa" w:w="80"/>
              <w:right w:type="dxa" w:w="140"/>
            </w:tcMar>
          </w:tcPr>
          <w:p>
            <w:r>
              <w:rPr>
                <w:rFonts w:ascii="Arial" w:cs="Arial" w:eastAsia="Arial" w:hAnsi="Arial"/>
                <w:b/>
                <w:bCs/>
                <w:color w:val="FFFFFF"/>
                <w:sz w:val="19"/>
                <w:szCs w:val="19"/>
              </w:rPr>
              <w:t xml:space="preserve">Termo</w:t>
            </w:r>
          </w:p>
        </w:tc>
        <w:tc>
          <w:tcPr>
            <w:tcW w:type="dxa" w:w="4680"/>
            <w:tcBorders>
              <w:top w:val="single" w:color="C5D8F0" w:sz="1"/>
              <w:left w:val="single" w:color="C5D8F0" w:sz="1"/>
              <w:bottom w:val="single" w:color="C5D8F0" w:sz="1"/>
              <w:right w:val="single" w:color="C5D8F0" w:sz="1"/>
            </w:tcBorders>
            <w:shd w:fill="1A3C6E" w:val="clear"/>
            <w:tcMar>
              <w:top w:type="dxa" w:w="80"/>
              <w:left w:type="dxa" w:w="140"/>
              <w:bottom w:type="dxa" w:w="80"/>
              <w:right w:type="dxa" w:w="140"/>
            </w:tcMar>
          </w:tcPr>
          <w:p>
            <w:r>
              <w:rPr>
                <w:rFonts w:ascii="Arial" w:cs="Arial" w:eastAsia="Arial" w:hAnsi="Arial"/>
                <w:b/>
                <w:bCs/>
                <w:color w:val="FFFFFF"/>
                <w:sz w:val="19"/>
                <w:szCs w:val="19"/>
              </w:rPr>
              <w:t xml:space="preserve">Definição</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Plataforma</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Conjunto de sistemas, APIs, interfaces e serviços disponibilizados pela Clarian Finance</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Usuário / Cliente</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Pessoa física ou jurídica que utiliza os serviços da Clarian, diretamente ou via API</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Conta</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Registro individual do Usuário na Plataforma, associado a credenciais de acesso exclusivas</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KYC / KYB</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Know Your Customer / Know Your Business – processo de verificação de identidade e conformidade regulatória</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AML/CFT</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Anti-Money Laundering / Combating the Financing of Terrorism – prevenção à lavagem de dinheiro e financiamento ao terrorismo</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Gateway de Pagamentos</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Infraestrutura tecnológica para processamento de transações de pagamento eletrônico</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BaaS</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Banking as a Service – serviços bancários digitais fornecidos por infraestrutura de terceiros parceiros</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Crypto Wallet</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Carteira digital para custódia, envio e recebimento de criptoativos</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Stablecoin</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Criptoativo com valor atrelado a uma moeda fiduciária ou ativo de referência</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Provedores Parceiros</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Instituições financeiras, bancos, exchanges, processadores e outros prestadores integrados via API</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Parceiros API</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Provedores de serviços cujas funcionalidades são integradas à Plataforma mediante interfaces técnicas</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Taxa</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Remuneração devida pelos serviços prestados, conforme tabela vigente</w:t>
            </w:r>
          </w:p>
        </w:tc>
      </w:tr>
      <w:tr>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Transação</w:t>
            </w:r>
          </w:p>
        </w:tc>
        <w:tc>
          <w:tcPr>
            <w:tcW w:type="dxa" w:w="4680"/>
            <w:tcBorders>
              <w:top w:val="single" w:color="C5D8F0" w:sz="1"/>
              <w:left w:val="single" w:color="C5D8F0" w:sz="1"/>
              <w:bottom w:val="single" w:color="C5D8F0" w:sz="1"/>
              <w:right w:val="single" w:color="C5D8F0" w:sz="1"/>
            </w:tcBorders>
            <w:shd w:fill="FFFFFF" w:val="clear"/>
            <w:tcMar>
              <w:top w:type="dxa" w:w="80"/>
              <w:left w:type="dxa" w:w="140"/>
              <w:bottom w:type="dxa" w:w="80"/>
              <w:right w:type="dxa" w:w="140"/>
            </w:tcMar>
          </w:tcPr>
          <w:p>
            <w:r>
              <w:rPr>
                <w:rFonts w:ascii="Arial" w:cs="Arial" w:eastAsia="Arial" w:hAnsi="Arial"/>
                <w:b w:val="false"/>
                <w:bCs w:val="false"/>
                <w:color w:val="555555"/>
                <w:sz w:val="19"/>
                <w:szCs w:val="19"/>
              </w:rPr>
              <w:t xml:space="preserve">Qualquer operação financeira processada por meio da Plataforma</w:t>
            </w:r>
          </w:p>
        </w:tc>
      </w:tr>
      <w:tr>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Saldo</w:t>
            </w:r>
          </w:p>
        </w:tc>
        <w:tc>
          <w:tcPr>
            <w:tcW w:type="dxa" w:w="4680"/>
            <w:tcBorders>
              <w:top w:val="single" w:color="C5D8F0" w:sz="1"/>
              <w:left w:val="single" w:color="C5D8F0" w:sz="1"/>
              <w:bottom w:val="single" w:color="C5D8F0" w:sz="1"/>
              <w:right w:val="single" w:color="C5D8F0" w:sz="1"/>
            </w:tcBorders>
            <w:shd w:fill="EBF2FB" w:val="clear"/>
            <w:tcMar>
              <w:top w:type="dxa" w:w="80"/>
              <w:left w:type="dxa" w:w="140"/>
              <w:bottom w:type="dxa" w:w="80"/>
              <w:right w:type="dxa" w:w="140"/>
            </w:tcMar>
          </w:tcPr>
          <w:p>
            <w:r>
              <w:rPr>
                <w:rFonts w:ascii="Arial" w:cs="Arial" w:eastAsia="Arial" w:hAnsi="Arial"/>
                <w:b w:val="false"/>
                <w:bCs w:val="false"/>
                <w:color w:val="555555"/>
                <w:sz w:val="19"/>
                <w:szCs w:val="19"/>
              </w:rPr>
              <w:t xml:space="preserve">Valor disponível na Conta do Usuário para realização de operações</w:t>
            </w:r>
          </w:p>
        </w:tc>
      </w:tr>
    </w:tbl>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3. Elegibilidade e Cadastro</w:t>
      </w:r>
    </w:p>
    <w:p>
      <w:pPr>
        <w:pStyle w:val="Heading2"/>
        <w:spacing w:after="100" w:before="240"/>
      </w:pPr>
      <w:r>
        <w:rPr>
          <w:rFonts w:ascii="Arial" w:cs="Arial" w:eastAsia="Arial" w:hAnsi="Arial"/>
          <w:b/>
          <w:bCs/>
          <w:color w:val="1A3C6E"/>
          <w:sz w:val="24"/>
          <w:szCs w:val="24"/>
        </w:rPr>
        <w:t xml:space="preserve">3.1. Requisitos de Elegibilidade</w:t>
      </w:r>
    </w:p>
    <w:p>
      <w:pPr>
        <w:spacing w:after="80" w:before="80" w:line="276"/>
        <w:jc w:val="both"/>
      </w:pPr>
      <w:r>
        <w:rPr>
          <w:rFonts w:ascii="Arial" w:cs="Arial" w:eastAsia="Arial" w:hAnsi="Arial"/>
          <w:color w:val="555555"/>
          <w:sz w:val="22"/>
          <w:szCs w:val="22"/>
        </w:rPr>
        <w:t xml:space="preserve">Para utilizar os serviços da Clarian Finance, o Usuário deve:</w:t>
      </w:r>
    </w:p>
    <w:p>
      <w:pPr>
        <w:pStyle w:val="ListParagraph"/>
        <w:numPr>
          <w:ilvl w:val="0"/>
          <w:numId w:val="2"/>
        </w:numPr>
        <w:spacing w:after="40" w:before="40" w:line="276"/>
      </w:pPr>
      <w:r>
        <w:rPr>
          <w:rFonts w:ascii="Arial" w:cs="Arial" w:eastAsia="Arial" w:hAnsi="Arial"/>
          <w:color w:val="555555"/>
          <w:sz w:val="22"/>
          <w:szCs w:val="22"/>
        </w:rPr>
        <w:t xml:space="preserve">Ser pessoa física com capacidade civil plena (maiores de 18 anos), ou pessoa jurídica regularmente constituída;</w:t>
      </w:r>
    </w:p>
    <w:p>
      <w:pPr>
        <w:pStyle w:val="ListParagraph"/>
        <w:numPr>
          <w:ilvl w:val="0"/>
          <w:numId w:val="2"/>
        </w:numPr>
        <w:spacing w:after="40" w:before="40" w:line="276"/>
      </w:pPr>
      <w:r>
        <w:rPr>
          <w:rFonts w:ascii="Arial" w:cs="Arial" w:eastAsia="Arial" w:hAnsi="Arial"/>
          <w:color w:val="555555"/>
          <w:sz w:val="22"/>
          <w:szCs w:val="22"/>
        </w:rPr>
        <w:t xml:space="preserve">Possuir CPF/CNPJ válido e regular perante a Receita Federal do Brasil;</w:t>
      </w:r>
    </w:p>
    <w:p>
      <w:pPr>
        <w:pStyle w:val="ListParagraph"/>
        <w:numPr>
          <w:ilvl w:val="0"/>
          <w:numId w:val="2"/>
        </w:numPr>
        <w:spacing w:after="40" w:before="40" w:line="276"/>
      </w:pPr>
      <w:r>
        <w:rPr>
          <w:rFonts w:ascii="Arial" w:cs="Arial" w:eastAsia="Arial" w:hAnsi="Arial"/>
          <w:color w:val="555555"/>
          <w:sz w:val="22"/>
          <w:szCs w:val="22"/>
        </w:rPr>
        <w:t xml:space="preserve">Residir ou possuir estabelecimento no(s) país(es) em que a Clarian oferece seus serviços;</w:t>
      </w:r>
    </w:p>
    <w:p>
      <w:pPr>
        <w:pStyle w:val="ListParagraph"/>
        <w:numPr>
          <w:ilvl w:val="0"/>
          <w:numId w:val="2"/>
        </w:numPr>
        <w:spacing w:after="40" w:before="40" w:line="276"/>
      </w:pPr>
      <w:r>
        <w:rPr>
          <w:rFonts w:ascii="Arial" w:cs="Arial" w:eastAsia="Arial" w:hAnsi="Arial"/>
          <w:color w:val="555555"/>
          <w:sz w:val="22"/>
          <w:szCs w:val="22"/>
        </w:rPr>
        <w:t xml:space="preserve">Não figurar em listas de restrição do COAF, OFAC, ONU, UE ou outras listas de sanções aplicáveis;</w:t>
      </w:r>
    </w:p>
    <w:p>
      <w:pPr>
        <w:pStyle w:val="ListParagraph"/>
        <w:numPr>
          <w:ilvl w:val="0"/>
          <w:numId w:val="2"/>
        </w:numPr>
        <w:spacing w:after="40" w:before="40" w:line="276"/>
      </w:pPr>
      <w:r>
        <w:rPr>
          <w:rFonts w:ascii="Arial" w:cs="Arial" w:eastAsia="Arial" w:hAnsi="Arial"/>
          <w:color w:val="555555"/>
          <w:sz w:val="22"/>
          <w:szCs w:val="22"/>
        </w:rPr>
        <w:t xml:space="preserve">Não ter tido conta encerrada pela Clarian por violação destes Termos ou por determinação regulatória.</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3.2. Processo de Cadastro e Verificação de Identidade (KYC/KYB)</w:t>
      </w:r>
    </w:p>
    <w:p>
      <w:pPr>
        <w:spacing w:after="80" w:before="80" w:line="276"/>
        <w:jc w:val="both"/>
      </w:pPr>
      <w:r>
        <w:rPr>
          <w:rFonts w:ascii="Arial" w:cs="Arial" w:eastAsia="Arial" w:hAnsi="Arial"/>
          <w:color w:val="555555"/>
          <w:sz w:val="22"/>
          <w:szCs w:val="22"/>
        </w:rPr>
        <w:t xml:space="preserve">O cadastro na Plataforma é condição indispensável para acesso aos serviços. O processo inclui:</w:t>
      </w:r>
    </w:p>
    <w:p>
      <w:pPr>
        <w:pStyle w:val="ListParagraph"/>
        <w:numPr>
          <w:ilvl w:val="0"/>
          <w:numId w:val="3"/>
        </w:numPr>
        <w:spacing w:after="40" w:before="40" w:line="276"/>
      </w:pPr>
      <w:r>
        <w:rPr>
          <w:rFonts w:ascii="Arial" w:cs="Arial" w:eastAsia="Arial" w:hAnsi="Arial"/>
          <w:color w:val="555555"/>
          <w:sz w:val="22"/>
          <w:szCs w:val="22"/>
        </w:rPr>
        <w:t xml:space="preserve">Fornecimento de dados cadastrais completos e verídicos, conforme solicitado no formulário de onboarding;</w:t>
      </w:r>
    </w:p>
    <w:p>
      <w:pPr>
        <w:pStyle w:val="ListParagraph"/>
        <w:numPr>
          <w:ilvl w:val="0"/>
          <w:numId w:val="3"/>
        </w:numPr>
        <w:spacing w:after="40" w:before="40" w:line="276"/>
      </w:pPr>
      <w:r>
        <w:rPr>
          <w:rFonts w:ascii="Arial" w:cs="Arial" w:eastAsia="Arial" w:hAnsi="Arial"/>
          <w:color w:val="555555"/>
          <w:sz w:val="22"/>
          <w:szCs w:val="22"/>
        </w:rPr>
        <w:t xml:space="preserve">Envio de documentos de identificação válidos (RG, CPF, CNH, passaporte ou documentos equivalentes para PJ);</w:t>
      </w:r>
    </w:p>
    <w:p>
      <w:pPr>
        <w:pStyle w:val="ListParagraph"/>
        <w:numPr>
          <w:ilvl w:val="0"/>
          <w:numId w:val="3"/>
        </w:numPr>
        <w:spacing w:after="40" w:before="40" w:line="276"/>
      </w:pPr>
      <w:r>
        <w:rPr>
          <w:rFonts w:ascii="Arial" w:cs="Arial" w:eastAsia="Arial" w:hAnsi="Arial"/>
          <w:color w:val="555555"/>
          <w:sz w:val="22"/>
          <w:szCs w:val="22"/>
        </w:rPr>
        <w:t xml:space="preserve">Verificação biométrica e/ou prova de vida, quando exigida;</w:t>
      </w:r>
    </w:p>
    <w:p>
      <w:pPr>
        <w:pStyle w:val="ListParagraph"/>
        <w:numPr>
          <w:ilvl w:val="0"/>
          <w:numId w:val="3"/>
        </w:numPr>
        <w:spacing w:after="40" w:before="40" w:line="276"/>
      </w:pPr>
      <w:r>
        <w:rPr>
          <w:rFonts w:ascii="Arial" w:cs="Arial" w:eastAsia="Arial" w:hAnsi="Arial"/>
          <w:color w:val="555555"/>
          <w:sz w:val="22"/>
          <w:szCs w:val="22"/>
        </w:rPr>
        <w:t xml:space="preserve">Declaração de origem de fundos (Source of Funds – SoF) para determinadas categorias de serviço;</w:t>
      </w:r>
    </w:p>
    <w:p>
      <w:pPr>
        <w:pStyle w:val="ListParagraph"/>
        <w:numPr>
          <w:ilvl w:val="0"/>
          <w:numId w:val="3"/>
        </w:numPr>
        <w:spacing w:after="40" w:before="40" w:line="276"/>
      </w:pPr>
      <w:r>
        <w:rPr>
          <w:rFonts w:ascii="Arial" w:cs="Arial" w:eastAsia="Arial" w:hAnsi="Arial"/>
          <w:color w:val="555555"/>
          <w:sz w:val="22"/>
          <w:szCs w:val="22"/>
        </w:rPr>
        <w:t xml:space="preserve">Aprovação do processo de compliance pela Clarian e/ou por seus Provedores Parceiros.</w:t>
      </w:r>
    </w:p>
    <w:p>
      <w:pPr>
        <w:spacing w:after="60" w:before="60"/>
      </w:pPr>
      <w:r>
        <w:t xml:space="preserve"/>
      </w:r>
    </w:p>
    <w:p>
      <w:pPr>
        <w:spacing w:after="80" w:before="80" w:line="276"/>
        <w:jc w:val="both"/>
      </w:pPr>
      <w:r>
        <w:rPr>
          <w:rFonts w:ascii="Arial" w:cs="Arial" w:eastAsia="Arial" w:hAnsi="Arial"/>
          <w:color w:val="555555"/>
          <w:sz w:val="22"/>
          <w:szCs w:val="22"/>
        </w:rPr>
        <w:t xml:space="preserve">O Usuário reconhece que o processo de KYC/KYB é exigência legal e condição contratual para habilitação de funcionalidades da Plataforma, incluindo a aprovação perante Provedores Parceiros (APIs). A Clarian poderá, a qualquer tempo, solicitar documentação complementar ou realizar verificações adicionais, sem necessidade de justificativa prévia.</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3.3. Precisão das Informações</w:t>
      </w:r>
    </w:p>
    <w:p>
      <w:pPr>
        <w:spacing w:after="80" w:before="80" w:line="276"/>
        <w:jc w:val="both"/>
      </w:pPr>
      <w:r>
        <w:rPr>
          <w:rFonts w:ascii="Arial" w:cs="Arial" w:eastAsia="Arial" w:hAnsi="Arial"/>
          <w:color w:val="555555"/>
          <w:sz w:val="22"/>
          <w:szCs w:val="22"/>
        </w:rPr>
        <w:t xml:space="preserve">O Usuário se compromete a manter seus dados cadastrais sempre atualizados e verídicos. O fornecimento de informações falsas, incompletas ou desatualizadas constitui violação destes Termos e poderá acarretar o encerramento imediato da Conta, além de responsabilização civil e criminal, conforme aplicável.</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4. Descrição dos Serviços</w:t>
      </w:r>
    </w:p>
    <w:p>
      <w:pPr>
        <w:spacing w:after="80" w:before="80" w:line="276"/>
        <w:jc w:val="both"/>
      </w:pPr>
      <w:r>
        <w:rPr>
          <w:rFonts w:ascii="Arial" w:cs="Arial" w:eastAsia="Arial" w:hAnsi="Arial"/>
          <w:color w:val="555555"/>
          <w:sz w:val="22"/>
          <w:szCs w:val="22"/>
        </w:rPr>
        <w:t xml:space="preserve">A Clarian Finance disponibiliza, por meio de sua Plataforma e integrações via API, as seguintes soluções: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4.1. Gateway de Pagamentos</w:t>
      </w:r>
    </w:p>
    <w:p>
      <w:pPr>
        <w:pStyle w:val="ListParagraph"/>
        <w:numPr>
          <w:ilvl w:val="0"/>
          <w:numId w:val="2"/>
        </w:numPr>
        <w:spacing w:after="40" w:before="40" w:line="276"/>
      </w:pPr>
      <w:r>
        <w:rPr>
          <w:rFonts w:ascii="Arial" w:cs="Arial" w:eastAsia="Arial" w:hAnsi="Arial"/>
          <w:color w:val="555555"/>
          <w:sz w:val="22"/>
          <w:szCs w:val="22"/>
        </w:rPr>
        <w:t xml:space="preserve">Processamento de pagamentos nacionais e internacionais, incluindo cartões de débito e crédito, PIX, boleto bancário, transferências bancárias e demais meios de pagamento disponíveis;</w:t>
      </w:r>
    </w:p>
    <w:p>
      <w:pPr>
        <w:pStyle w:val="ListParagraph"/>
        <w:numPr>
          <w:ilvl w:val="0"/>
          <w:numId w:val="2"/>
        </w:numPr>
        <w:spacing w:after="40" w:before="40" w:line="276"/>
      </w:pPr>
      <w:r>
        <w:rPr>
          <w:rFonts w:ascii="Arial" w:cs="Arial" w:eastAsia="Arial" w:hAnsi="Arial"/>
          <w:color w:val="555555"/>
          <w:sz w:val="22"/>
          <w:szCs w:val="22"/>
        </w:rPr>
        <w:t xml:space="preserve">Gestão de cobranças, split de pagamentos, antecipação de recebíveis e liquidação financeira;</w:t>
      </w:r>
    </w:p>
    <w:p>
      <w:pPr>
        <w:pStyle w:val="ListParagraph"/>
        <w:numPr>
          <w:ilvl w:val="0"/>
          <w:numId w:val="2"/>
        </w:numPr>
        <w:spacing w:after="40" w:before="40" w:line="276"/>
      </w:pPr>
      <w:r>
        <w:rPr>
          <w:rFonts w:ascii="Arial" w:cs="Arial" w:eastAsia="Arial" w:hAnsi="Arial"/>
          <w:color w:val="555555"/>
          <w:sz w:val="22"/>
          <w:szCs w:val="22"/>
        </w:rPr>
        <w:t xml:space="preserve">Integração com sistemas de gestão e plataformas de e-commerce por meio de APIs RESTful.</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4.2. Contas Bancárias Digitais (BaaS)</w:t>
      </w:r>
    </w:p>
    <w:p>
      <w:pPr>
        <w:pStyle w:val="ListParagraph"/>
        <w:numPr>
          <w:ilvl w:val="0"/>
          <w:numId w:val="2"/>
        </w:numPr>
        <w:spacing w:after="40" w:before="40" w:line="276"/>
      </w:pPr>
      <w:r>
        <w:rPr>
          <w:rFonts w:ascii="Arial" w:cs="Arial" w:eastAsia="Arial" w:hAnsi="Arial"/>
          <w:color w:val="555555"/>
          <w:sz w:val="22"/>
          <w:szCs w:val="22"/>
        </w:rPr>
        <w:t xml:space="preserve">Abertura e gerenciamento de contas de pagamento digitais para pessoas físicas e jurídicas;</w:t>
      </w:r>
    </w:p>
    <w:p>
      <w:pPr>
        <w:pStyle w:val="ListParagraph"/>
        <w:numPr>
          <w:ilvl w:val="0"/>
          <w:numId w:val="2"/>
        </w:numPr>
        <w:spacing w:after="40" w:before="40" w:line="276"/>
      </w:pPr>
      <w:r>
        <w:rPr>
          <w:rFonts w:ascii="Arial" w:cs="Arial" w:eastAsia="Arial" w:hAnsi="Arial"/>
          <w:color w:val="555555"/>
          <w:sz w:val="22"/>
          <w:szCs w:val="22"/>
        </w:rPr>
        <w:t xml:space="preserve">Transferências via PIX, TED, DOC e SWIFT para contas nacionais e internacionais;</w:t>
      </w:r>
    </w:p>
    <w:p>
      <w:pPr>
        <w:pStyle w:val="ListParagraph"/>
        <w:numPr>
          <w:ilvl w:val="0"/>
          <w:numId w:val="2"/>
        </w:numPr>
        <w:spacing w:after="40" w:before="40" w:line="276"/>
      </w:pPr>
      <w:r>
        <w:rPr>
          <w:rFonts w:ascii="Arial" w:cs="Arial" w:eastAsia="Arial" w:hAnsi="Arial"/>
          <w:color w:val="555555"/>
          <w:sz w:val="22"/>
          <w:szCs w:val="22"/>
        </w:rPr>
        <w:t xml:space="preserve">Emissão de boletos, extratos, comprovantes e demais funcionalidades bancárias digitais;</w:t>
      </w:r>
    </w:p>
    <w:p>
      <w:pPr>
        <w:pStyle w:val="ListParagraph"/>
        <w:numPr>
          <w:ilvl w:val="0"/>
          <w:numId w:val="2"/>
        </w:numPr>
        <w:spacing w:after="40" w:before="40" w:line="276"/>
      </w:pPr>
      <w:r>
        <w:rPr>
          <w:rFonts w:ascii="Arial" w:cs="Arial" w:eastAsia="Arial" w:hAnsi="Arial"/>
          <w:color w:val="555555"/>
          <w:sz w:val="22"/>
          <w:szCs w:val="22"/>
        </w:rPr>
        <w:t xml:space="preserve">Acesso a serviços bancários de Provedores Parceiros licenciados pelo Banco Central do Brasil.</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4.3. Carteiras de Criptoativos (Crypto Wallets)</w:t>
      </w:r>
    </w:p>
    <w:p>
      <w:pPr>
        <w:pStyle w:val="ListParagraph"/>
        <w:numPr>
          <w:ilvl w:val="0"/>
          <w:numId w:val="2"/>
        </w:numPr>
        <w:spacing w:after="40" w:before="40" w:line="276"/>
      </w:pPr>
      <w:r>
        <w:rPr>
          <w:rFonts w:ascii="Arial" w:cs="Arial" w:eastAsia="Arial" w:hAnsi="Arial"/>
          <w:color w:val="555555"/>
          <w:sz w:val="22"/>
          <w:szCs w:val="22"/>
        </w:rPr>
        <w:t xml:space="preserve">Custódia, envio e recebimento de criptoativos suportados pela Plataforma;</w:t>
      </w:r>
    </w:p>
    <w:p>
      <w:pPr>
        <w:pStyle w:val="ListParagraph"/>
        <w:numPr>
          <w:ilvl w:val="0"/>
          <w:numId w:val="2"/>
        </w:numPr>
        <w:spacing w:after="40" w:before="40" w:line="276"/>
      </w:pPr>
      <w:r>
        <w:rPr>
          <w:rFonts w:ascii="Arial" w:cs="Arial" w:eastAsia="Arial" w:hAnsi="Arial"/>
          <w:color w:val="555555"/>
          <w:sz w:val="22"/>
          <w:szCs w:val="22"/>
        </w:rPr>
        <w:t xml:space="preserve">Conversão entre criptoativos e moedas fiduciárias, sujeita à disponibilidade e regulamentação vigente;</w:t>
      </w:r>
    </w:p>
    <w:p>
      <w:pPr>
        <w:pStyle w:val="ListParagraph"/>
        <w:numPr>
          <w:ilvl w:val="0"/>
          <w:numId w:val="2"/>
        </w:numPr>
        <w:spacing w:after="40" w:before="40" w:line="276"/>
      </w:pPr>
      <w:r>
        <w:rPr>
          <w:rFonts w:ascii="Arial" w:cs="Arial" w:eastAsia="Arial" w:hAnsi="Arial"/>
          <w:color w:val="555555"/>
          <w:sz w:val="22"/>
          <w:szCs w:val="22"/>
        </w:rPr>
        <w:t xml:space="preserve">Integração com blockchains e protocolos de smart contracts, conforme funcionalidades disponíveis;</w:t>
      </w:r>
    </w:p>
    <w:p>
      <w:pPr>
        <w:pStyle w:val="ListParagraph"/>
        <w:numPr>
          <w:ilvl w:val="0"/>
          <w:numId w:val="2"/>
        </w:numPr>
        <w:spacing w:after="40" w:before="40" w:line="276"/>
      </w:pPr>
      <w:r>
        <w:rPr>
          <w:rFonts w:ascii="Arial" w:cs="Arial" w:eastAsia="Arial" w:hAnsi="Arial"/>
          <w:color w:val="555555"/>
          <w:sz w:val="22"/>
          <w:szCs w:val="22"/>
        </w:rPr>
        <w:t xml:space="preserve">Acesso a relatórios de movimentação para fins fiscais e declaratórios.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4.4. Stablecoins</w:t>
      </w:r>
    </w:p>
    <w:p>
      <w:pPr>
        <w:pStyle w:val="ListParagraph"/>
        <w:numPr>
          <w:ilvl w:val="0"/>
          <w:numId w:val="2"/>
        </w:numPr>
        <w:spacing w:after="40" w:before="40" w:line="276"/>
      </w:pPr>
      <w:r>
        <w:rPr>
          <w:rFonts w:ascii="Arial" w:cs="Arial" w:eastAsia="Arial" w:hAnsi="Arial"/>
          <w:color w:val="555555"/>
          <w:sz w:val="22"/>
          <w:szCs w:val="22"/>
        </w:rPr>
        <w:t xml:space="preserve">Operações de compra, venda, emissão e resgate de stablecoins suportadas pela Plataforma;</w:t>
      </w:r>
    </w:p>
    <w:p>
      <w:pPr>
        <w:pStyle w:val="ListParagraph"/>
        <w:numPr>
          <w:ilvl w:val="0"/>
          <w:numId w:val="2"/>
        </w:numPr>
        <w:spacing w:after="40" w:before="40" w:line="276"/>
      </w:pPr>
      <w:r>
        <w:rPr>
          <w:rFonts w:ascii="Arial" w:cs="Arial" w:eastAsia="Arial" w:hAnsi="Arial"/>
          <w:color w:val="555555"/>
          <w:sz w:val="22"/>
          <w:szCs w:val="22"/>
        </w:rPr>
        <w:t xml:space="preserve">Transferências de stablecoins entre contas na Plataforma e para endereços externos compatíveis;</w:t>
      </w:r>
    </w:p>
    <w:p>
      <w:pPr>
        <w:pStyle w:val="ListParagraph"/>
        <w:numPr>
          <w:ilvl w:val="0"/>
          <w:numId w:val="2"/>
        </w:numPr>
        <w:spacing w:after="40" w:before="40" w:line="276"/>
      </w:pPr>
      <w:r>
        <w:rPr>
          <w:rFonts w:ascii="Arial" w:cs="Arial" w:eastAsia="Arial" w:hAnsi="Arial"/>
          <w:color w:val="555555"/>
          <w:sz w:val="22"/>
          <w:szCs w:val="22"/>
        </w:rPr>
        <w:t xml:space="preserve">Utilização de stablecoins como instrumento de pagamento, liquidação ou reserva de valor, nos termos permitidos pela regulamentação aplicável.</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4.5. Remessas Internacionais</w:t>
      </w:r>
    </w:p>
    <w:p>
      <w:pPr>
        <w:pStyle w:val="ListParagraph"/>
        <w:numPr>
          <w:ilvl w:val="0"/>
          <w:numId w:val="2"/>
        </w:numPr>
        <w:spacing w:after="40" w:before="40" w:line="276"/>
      </w:pPr>
      <w:r>
        <w:rPr>
          <w:rFonts w:ascii="Arial" w:cs="Arial" w:eastAsia="Arial" w:hAnsi="Arial"/>
          <w:color w:val="555555"/>
          <w:sz w:val="22"/>
          <w:szCs w:val="22"/>
        </w:rPr>
        <w:t xml:space="preserve">Envio e recebimento de valores para e do exterior, mediante câmbio de moeda e cumprimento das normas do Banco Central do Brasil e da legislação cambial vigente;</w:t>
      </w:r>
    </w:p>
    <w:p>
      <w:pPr>
        <w:pStyle w:val="ListParagraph"/>
        <w:numPr>
          <w:ilvl w:val="0"/>
          <w:numId w:val="2"/>
        </w:numPr>
        <w:spacing w:after="40" w:before="40" w:line="276"/>
      </w:pPr>
      <w:r>
        <w:rPr>
          <w:rFonts w:ascii="Arial" w:cs="Arial" w:eastAsia="Arial" w:hAnsi="Arial"/>
          <w:color w:val="555555"/>
          <w:sz w:val="22"/>
          <w:szCs w:val="22"/>
        </w:rPr>
        <w:t xml:space="preserve">Integração com redes internacionais de transferência via Provedores Parceiros habilitados;</w:t>
      </w:r>
    </w:p>
    <w:p>
      <w:pPr>
        <w:pStyle w:val="ListParagraph"/>
        <w:numPr>
          <w:ilvl w:val="0"/>
          <w:numId w:val="2"/>
        </w:numPr>
        <w:spacing w:after="40" w:before="40" w:line="276"/>
      </w:pPr>
      <w:r>
        <w:rPr>
          <w:rFonts w:ascii="Arial" w:cs="Arial" w:eastAsia="Arial" w:hAnsi="Arial"/>
          <w:color w:val="555555"/>
          <w:sz w:val="22"/>
          <w:szCs w:val="22"/>
        </w:rPr>
        <w:t xml:space="preserve">Rastreamento de remessas e emissão de comprovantes internacionais.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4.6. Integração via API</w:t>
      </w:r>
    </w:p>
    <w:p>
      <w:pPr>
        <w:pStyle w:val="ListParagraph"/>
        <w:numPr>
          <w:ilvl w:val="0"/>
          <w:numId w:val="2"/>
        </w:numPr>
        <w:spacing w:after="40" w:before="40" w:line="276"/>
      </w:pPr>
      <w:r>
        <w:rPr>
          <w:rFonts w:ascii="Arial" w:cs="Arial" w:eastAsia="Arial" w:hAnsi="Arial"/>
          <w:color w:val="555555"/>
          <w:sz w:val="22"/>
          <w:szCs w:val="22"/>
        </w:rPr>
        <w:t xml:space="preserve">Disponibilização de APIs documentadas para integração dos serviços da Clarian em plataformas e sistemas de terceiros;</w:t>
      </w:r>
    </w:p>
    <w:p>
      <w:pPr>
        <w:pStyle w:val="ListParagraph"/>
        <w:numPr>
          <w:ilvl w:val="0"/>
          <w:numId w:val="2"/>
        </w:numPr>
        <w:spacing w:after="40" w:before="40" w:line="276"/>
      </w:pPr>
      <w:r>
        <w:rPr>
          <w:rFonts w:ascii="Arial" w:cs="Arial" w:eastAsia="Arial" w:hAnsi="Arial"/>
          <w:color w:val="555555"/>
          <w:sz w:val="22"/>
          <w:szCs w:val="22"/>
        </w:rPr>
        <w:t xml:space="preserve">Credenciais de acesso (API keys e tokens) sujeitas às políticas de uso e limites estabelecidos;</w:t>
      </w:r>
    </w:p>
    <w:p>
      <w:pPr>
        <w:pStyle w:val="ListParagraph"/>
        <w:numPr>
          <w:ilvl w:val="0"/>
          <w:numId w:val="2"/>
        </w:numPr>
        <w:spacing w:after="40" w:before="40" w:line="276"/>
      </w:pPr>
      <w:r>
        <w:rPr>
          <w:rFonts w:ascii="Arial" w:cs="Arial" w:eastAsia="Arial" w:hAnsi="Arial"/>
          <w:color w:val="555555"/>
          <w:sz w:val="22"/>
          <w:szCs w:val="22"/>
        </w:rPr>
        <w:t xml:space="preserve">Suporte técnico e documentação disponíveis no portal de desenvolvedores.</w:t>
      </w:r>
    </w:p>
    <w:p>
      <w:pPr>
        <w:spacing w:after="60" w:before="60"/>
      </w:pPr>
      <w:r>
        <w:t xml:space="preserve"/>
      </w:r>
    </w:p>
    <w:p>
      <w:pPr>
        <w:spacing w:after="80" w:before="80" w:line="276"/>
        <w:jc w:val="both"/>
      </w:pPr>
      <w:r>
        <w:rPr>
          <w:rFonts w:ascii="Arial" w:cs="Arial" w:eastAsia="Arial" w:hAnsi="Arial"/>
          <w:color w:val="555555"/>
          <w:sz w:val="22"/>
          <w:szCs w:val="22"/>
        </w:rPr>
        <w:t xml:space="preserve">A disponibilidade dos serviços pode variar conforme o perfil do Usuário, seu nível de verificação de identidade, a jurisdição de operação e a aprovação pelos Provedores Parceiros responsáveis pela infraestrutura subjacente.</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5. Taxas, Tarifas e Faturamento</w:t>
      </w:r>
    </w:p>
    <w:p>
      <w:pPr>
        <w:pStyle w:val="Heading2"/>
        <w:spacing w:after="100" w:before="240"/>
      </w:pPr>
      <w:r>
        <w:rPr>
          <w:rFonts w:ascii="Arial" w:cs="Arial" w:eastAsia="Arial" w:hAnsi="Arial"/>
          <w:b/>
          <w:bCs/>
          <w:color w:val="1A3C6E"/>
          <w:sz w:val="24"/>
          <w:szCs w:val="24"/>
        </w:rPr>
        <w:t xml:space="preserve">5.1. Tabela de Tarifas</w:t>
      </w:r>
    </w:p>
    <w:p>
      <w:pPr>
        <w:spacing w:after="80" w:before="80" w:line="276"/>
        <w:jc w:val="both"/>
      </w:pPr>
      <w:r>
        <w:rPr>
          <w:rFonts w:ascii="Arial" w:cs="Arial" w:eastAsia="Arial" w:hAnsi="Arial"/>
          <w:color w:val="555555"/>
          <w:sz w:val="22"/>
          <w:szCs w:val="22"/>
        </w:rPr>
        <w:t xml:space="preserve">A utilização dos serviços da Clarian está sujeita ao pagamento de tarifas e taxas descritas na Tabela de Tarifas vigente, disponível em clarian.finance/tarifas. A Clarian reserva-se o direito de atualizar sua tabela de tarifas, com comunicação prévia ao Usuário de no mínimo 30 (trinta) dias.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5.2. Cobrança e Liquidação</w:t>
      </w:r>
    </w:p>
    <w:p>
      <w:pPr>
        <w:pStyle w:val="ListParagraph"/>
        <w:numPr>
          <w:ilvl w:val="0"/>
          <w:numId w:val="2"/>
        </w:numPr>
        <w:spacing w:after="40" w:before="40" w:line="276"/>
      </w:pPr>
      <w:r>
        <w:rPr>
          <w:rFonts w:ascii="Arial" w:cs="Arial" w:eastAsia="Arial" w:hAnsi="Arial"/>
          <w:color w:val="555555"/>
          <w:sz w:val="22"/>
          <w:szCs w:val="22"/>
        </w:rPr>
        <w:t xml:space="preserve">As tarifas serão debitadas diretamente do saldo disponível na Conta do Usuário ou cobradas conforme modalidade contratada;</w:t>
      </w:r>
    </w:p>
    <w:p>
      <w:pPr>
        <w:pStyle w:val="ListParagraph"/>
        <w:numPr>
          <w:ilvl w:val="0"/>
          <w:numId w:val="2"/>
        </w:numPr>
        <w:spacing w:after="40" w:before="40" w:line="276"/>
      </w:pPr>
      <w:r>
        <w:rPr>
          <w:rFonts w:ascii="Arial" w:cs="Arial" w:eastAsia="Arial" w:hAnsi="Arial"/>
          <w:color w:val="555555"/>
          <w:sz w:val="22"/>
          <w:szCs w:val="22"/>
        </w:rPr>
        <w:t xml:space="preserve">Transações realizadas em moeda estrangeira estarão sujeitas à taxa de câmbio vigente no momento da operação, acrescida de spread informado previamente;</w:t>
      </w:r>
    </w:p>
    <w:p>
      <w:pPr>
        <w:pStyle w:val="ListParagraph"/>
        <w:numPr>
          <w:ilvl w:val="0"/>
          <w:numId w:val="2"/>
        </w:numPr>
        <w:spacing w:after="40" w:before="40" w:line="276"/>
      </w:pPr>
      <w:r>
        <w:rPr>
          <w:rFonts w:ascii="Arial" w:cs="Arial" w:eastAsia="Arial" w:hAnsi="Arial"/>
          <w:color w:val="555555"/>
          <w:sz w:val="22"/>
          <w:szCs w:val="22"/>
        </w:rPr>
        <w:t xml:space="preserve">Em caso de saldo insuficiente, a Clarian poderá reter ou cancelar a transação e cobrar taxa de devolução, conforme aplicável.</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5.3. Impostos e Obrigações Fiscais</w:t>
      </w:r>
    </w:p>
    <w:p>
      <w:pPr>
        <w:spacing w:after="80" w:before="80" w:line="276"/>
        <w:jc w:val="both"/>
      </w:pPr>
      <w:r>
        <w:rPr>
          <w:rFonts w:ascii="Arial" w:cs="Arial" w:eastAsia="Arial" w:hAnsi="Arial"/>
          <w:color w:val="555555"/>
          <w:sz w:val="22"/>
          <w:szCs w:val="22"/>
        </w:rPr>
        <w:t xml:space="preserve">O Usuário é o único responsável pelo recolhimento de impostos, contribuições e encargos incidentes sobre as operações realizadas por meio da Plataforma, incluindo IOF, IR sobre ganhos de capital em criptoativos, e demais tributos aplicáveis. A Clarian fornecerá relatórios de movimentação para fins fiscais, mas não presta assessoria tributária.</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5.4. Estorno e Chargeback</w:t>
      </w:r>
    </w:p>
    <w:p>
      <w:pPr>
        <w:spacing w:after="80" w:before="80" w:line="276"/>
        <w:jc w:val="both"/>
      </w:pPr>
      <w:r>
        <w:rPr>
          <w:rFonts w:ascii="Arial" w:cs="Arial" w:eastAsia="Arial" w:hAnsi="Arial"/>
          <w:color w:val="555555"/>
          <w:sz w:val="22"/>
          <w:szCs w:val="22"/>
        </w:rPr>
        <w:t xml:space="preserve">Em caso de contestação de transações (chargebacks), o Usuário concorda que a Clarian poderá bloquear preventivamente o valor contestado em sua Conta até a resolução do processo. Chargebacks fraudulentos ou abusivos poderão acarretar encerramento de conta e responsabilização pelos prejuízos causados.</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6. Obrigações e Responsabilidades do Usuário</w:t>
      </w:r>
    </w:p>
    <w:p>
      <w:pPr>
        <w:spacing w:after="80" w:before="80" w:line="276"/>
        <w:jc w:val="both"/>
      </w:pPr>
      <w:r>
        <w:rPr>
          <w:rFonts w:ascii="Arial" w:cs="Arial" w:eastAsia="Arial" w:hAnsi="Arial"/>
          <w:color w:val="555555"/>
          <w:sz w:val="22"/>
          <w:szCs w:val="22"/>
        </w:rPr>
        <w:t xml:space="preserve">Ao utilizar a Plataforma, o Usuário assume as seguintes obrigações: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6.1. Uso Lícito e Ético</w:t>
      </w:r>
    </w:p>
    <w:p>
      <w:pPr>
        <w:pStyle w:val="ListParagraph"/>
        <w:numPr>
          <w:ilvl w:val="0"/>
          <w:numId w:val="2"/>
        </w:numPr>
        <w:spacing w:after="40" w:before="40" w:line="276"/>
      </w:pPr>
      <w:r>
        <w:rPr>
          <w:rFonts w:ascii="Arial" w:cs="Arial" w:eastAsia="Arial" w:hAnsi="Arial"/>
          <w:color w:val="555555"/>
          <w:sz w:val="22"/>
          <w:szCs w:val="22"/>
        </w:rPr>
        <w:t xml:space="preserve">Utilizar os serviços exclusivamente para finalidades lícitas, legítimas e em conformidade com a legislação brasileira e internacional aplicável;</w:t>
      </w:r>
    </w:p>
    <w:p>
      <w:pPr>
        <w:pStyle w:val="ListParagraph"/>
        <w:numPr>
          <w:ilvl w:val="0"/>
          <w:numId w:val="2"/>
        </w:numPr>
        <w:spacing w:after="40" w:before="40" w:line="276"/>
      </w:pPr>
      <w:r>
        <w:rPr>
          <w:rFonts w:ascii="Arial" w:cs="Arial" w:eastAsia="Arial" w:hAnsi="Arial"/>
          <w:color w:val="555555"/>
          <w:sz w:val="22"/>
          <w:szCs w:val="22"/>
        </w:rPr>
        <w:t xml:space="preserve">Não utilizar a Plataforma para lavagem de dinheiro, financiamento ao terrorismo, evasão fiscal, fraude, estelionato ou qualquer outra atividade ilícita;</w:t>
      </w:r>
    </w:p>
    <w:p>
      <w:pPr>
        <w:pStyle w:val="ListParagraph"/>
        <w:numPr>
          <w:ilvl w:val="0"/>
          <w:numId w:val="2"/>
        </w:numPr>
        <w:spacing w:after="40" w:before="40" w:line="276"/>
      </w:pPr>
      <w:r>
        <w:rPr>
          <w:rFonts w:ascii="Arial" w:cs="Arial" w:eastAsia="Arial" w:hAnsi="Arial"/>
          <w:color w:val="555555"/>
          <w:sz w:val="22"/>
          <w:szCs w:val="22"/>
        </w:rPr>
        <w:t xml:space="preserve">Não realizar operações com recursos provenientes de atividades ilícitas ou não declaradas;</w:t>
      </w:r>
    </w:p>
    <w:p>
      <w:pPr>
        <w:pStyle w:val="ListParagraph"/>
        <w:numPr>
          <w:ilvl w:val="0"/>
          <w:numId w:val="2"/>
        </w:numPr>
        <w:spacing w:after="40" w:before="40" w:line="276"/>
      </w:pPr>
      <w:r>
        <w:rPr>
          <w:rFonts w:ascii="Arial" w:cs="Arial" w:eastAsia="Arial" w:hAnsi="Arial"/>
          <w:color w:val="555555"/>
          <w:sz w:val="22"/>
          <w:szCs w:val="22"/>
        </w:rPr>
        <w:t xml:space="preserve">Não utilizar a Plataforma em jurisdições onde os serviços sejam proibidos ou restritos.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6.2. Segurança da Conta</w:t>
      </w:r>
    </w:p>
    <w:p>
      <w:pPr>
        <w:pStyle w:val="ListParagraph"/>
        <w:numPr>
          <w:ilvl w:val="0"/>
          <w:numId w:val="2"/>
        </w:numPr>
        <w:spacing w:after="40" w:before="40" w:line="276"/>
      </w:pPr>
      <w:r>
        <w:rPr>
          <w:rFonts w:ascii="Arial" w:cs="Arial" w:eastAsia="Arial" w:hAnsi="Arial"/>
          <w:color w:val="555555"/>
          <w:sz w:val="22"/>
          <w:szCs w:val="22"/>
        </w:rPr>
        <w:t xml:space="preserve">Manter as credenciais de acesso (login, senha, token 2FA, API keys) em sigilo absoluto;</w:t>
      </w:r>
    </w:p>
    <w:p>
      <w:pPr>
        <w:pStyle w:val="ListParagraph"/>
        <w:numPr>
          <w:ilvl w:val="0"/>
          <w:numId w:val="2"/>
        </w:numPr>
        <w:spacing w:after="40" w:before="40" w:line="276"/>
      </w:pPr>
      <w:r>
        <w:rPr>
          <w:rFonts w:ascii="Arial" w:cs="Arial" w:eastAsia="Arial" w:hAnsi="Arial"/>
          <w:color w:val="555555"/>
          <w:sz w:val="22"/>
          <w:szCs w:val="22"/>
        </w:rPr>
        <w:t xml:space="preserve">Não compartilhar credenciais com terceiros, nem permitir acesso não autorizado à sua Conta;</w:t>
      </w:r>
    </w:p>
    <w:p>
      <w:pPr>
        <w:pStyle w:val="ListParagraph"/>
        <w:numPr>
          <w:ilvl w:val="0"/>
          <w:numId w:val="2"/>
        </w:numPr>
        <w:spacing w:after="40" w:before="40" w:line="276"/>
      </w:pPr>
      <w:r>
        <w:rPr>
          <w:rFonts w:ascii="Arial" w:cs="Arial" w:eastAsia="Arial" w:hAnsi="Arial"/>
          <w:color w:val="555555"/>
          <w:sz w:val="22"/>
          <w:szCs w:val="22"/>
        </w:rPr>
        <w:t xml:space="preserve">Comunicar imediatamente à Clarian qualquer suspeita de acesso não autorizado, comprometimento de credenciais ou atividade suspeita na Conta;</w:t>
      </w:r>
    </w:p>
    <w:p>
      <w:pPr>
        <w:pStyle w:val="ListParagraph"/>
        <w:numPr>
          <w:ilvl w:val="0"/>
          <w:numId w:val="2"/>
        </w:numPr>
        <w:spacing w:after="40" w:before="40" w:line="276"/>
      </w:pPr>
      <w:r>
        <w:rPr>
          <w:rFonts w:ascii="Arial" w:cs="Arial" w:eastAsia="Arial" w:hAnsi="Arial"/>
          <w:color w:val="555555"/>
          <w:sz w:val="22"/>
          <w:szCs w:val="22"/>
        </w:rPr>
        <w:t xml:space="preserve">A Clarian não se responsabiliza por prejuízos decorrentes de uso indevido de credenciais pelo próprio Usuário ou por terceiros a quem o Usuário tenha concedido acesso.</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6.3. Compliance e Documentação</w:t>
      </w:r>
    </w:p>
    <w:p>
      <w:pPr>
        <w:pStyle w:val="ListParagraph"/>
        <w:numPr>
          <w:ilvl w:val="0"/>
          <w:numId w:val="2"/>
        </w:numPr>
        <w:spacing w:after="40" w:before="40" w:line="276"/>
      </w:pPr>
      <w:r>
        <w:rPr>
          <w:rFonts w:ascii="Arial" w:cs="Arial" w:eastAsia="Arial" w:hAnsi="Arial"/>
          <w:color w:val="555555"/>
          <w:sz w:val="22"/>
          <w:szCs w:val="22"/>
        </w:rPr>
        <w:t xml:space="preserve">Manter atualizada toda a documentação cadastral exigida para KYC/KYB;</w:t>
      </w:r>
    </w:p>
    <w:p>
      <w:pPr>
        <w:pStyle w:val="ListParagraph"/>
        <w:numPr>
          <w:ilvl w:val="0"/>
          <w:numId w:val="2"/>
        </w:numPr>
        <w:spacing w:after="40" w:before="40" w:line="276"/>
      </w:pPr>
      <w:r>
        <w:rPr>
          <w:rFonts w:ascii="Arial" w:cs="Arial" w:eastAsia="Arial" w:hAnsi="Arial"/>
          <w:color w:val="555555"/>
          <w:sz w:val="22"/>
          <w:szCs w:val="22"/>
        </w:rPr>
        <w:t xml:space="preserve">Cooperar com solicitações de documentação adicional da Clarian ou de seus Provedores Parceiros;</w:t>
      </w:r>
    </w:p>
    <w:p>
      <w:pPr>
        <w:pStyle w:val="ListParagraph"/>
        <w:numPr>
          <w:ilvl w:val="0"/>
          <w:numId w:val="2"/>
        </w:numPr>
        <w:spacing w:after="40" w:before="40" w:line="276"/>
      </w:pPr>
      <w:r>
        <w:rPr>
          <w:rFonts w:ascii="Arial" w:cs="Arial" w:eastAsia="Arial" w:hAnsi="Arial"/>
          <w:color w:val="555555"/>
          <w:sz w:val="22"/>
          <w:szCs w:val="22"/>
        </w:rPr>
        <w:t xml:space="preserve">Cumprir as obrigações de reporte fiscal relativamente às operações realizadas na Plataforma;</w:t>
      </w:r>
    </w:p>
    <w:p>
      <w:pPr>
        <w:pStyle w:val="ListParagraph"/>
        <w:numPr>
          <w:ilvl w:val="0"/>
          <w:numId w:val="2"/>
        </w:numPr>
        <w:spacing w:after="40" w:before="40" w:line="276"/>
      </w:pPr>
      <w:r>
        <w:rPr>
          <w:rFonts w:ascii="Arial" w:cs="Arial" w:eastAsia="Arial" w:hAnsi="Arial"/>
          <w:color w:val="555555"/>
          <w:sz w:val="22"/>
          <w:szCs w:val="22"/>
        </w:rPr>
        <w:t xml:space="preserve">Notificar imediatamente a Clarian sobre qualquer alteração em sua situação regulatória, societária ou patrimonial relevante.</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6.4. Uso da API</w:t>
      </w:r>
    </w:p>
    <w:p>
      <w:pPr>
        <w:pStyle w:val="ListParagraph"/>
        <w:numPr>
          <w:ilvl w:val="0"/>
          <w:numId w:val="2"/>
        </w:numPr>
        <w:spacing w:after="40" w:before="40" w:line="276"/>
      </w:pPr>
      <w:r>
        <w:rPr>
          <w:rFonts w:ascii="Arial" w:cs="Arial" w:eastAsia="Arial" w:hAnsi="Arial"/>
          <w:color w:val="555555"/>
          <w:sz w:val="22"/>
          <w:szCs w:val="22"/>
        </w:rPr>
        <w:t xml:space="preserve">Utilizar as APIs da Clarian estritamente de acordo com a documentação técnica e os limites de taxa (rate limits) estabelecidos;</w:t>
      </w:r>
    </w:p>
    <w:p>
      <w:pPr>
        <w:pStyle w:val="ListParagraph"/>
        <w:numPr>
          <w:ilvl w:val="0"/>
          <w:numId w:val="2"/>
        </w:numPr>
        <w:spacing w:after="40" w:before="40" w:line="276"/>
      </w:pPr>
      <w:r>
        <w:rPr>
          <w:rFonts w:ascii="Arial" w:cs="Arial" w:eastAsia="Arial" w:hAnsi="Arial"/>
          <w:color w:val="555555"/>
          <w:sz w:val="22"/>
          <w:szCs w:val="22"/>
        </w:rPr>
        <w:t xml:space="preserve">Não realizar engenharia reversa, decompilação ou tentativa de acesso não autorizado à infraestrutura da Plataforma;</w:t>
      </w:r>
    </w:p>
    <w:p>
      <w:pPr>
        <w:pStyle w:val="ListParagraph"/>
        <w:numPr>
          <w:ilvl w:val="0"/>
          <w:numId w:val="2"/>
        </w:numPr>
        <w:spacing w:after="40" w:before="40" w:line="276"/>
      </w:pPr>
      <w:r>
        <w:rPr>
          <w:rFonts w:ascii="Arial" w:cs="Arial" w:eastAsia="Arial" w:hAnsi="Arial"/>
          <w:color w:val="555555"/>
          <w:sz w:val="22"/>
          <w:szCs w:val="22"/>
        </w:rPr>
        <w:t xml:space="preserve">Responsabilizar-se integralmente pelo uso das credenciais de API (API keys) e por todas as transações iniciadas por meio delas;</w:t>
      </w:r>
    </w:p>
    <w:p>
      <w:pPr>
        <w:pStyle w:val="ListParagraph"/>
        <w:numPr>
          <w:ilvl w:val="0"/>
          <w:numId w:val="2"/>
        </w:numPr>
        <w:spacing w:after="40" w:before="40" w:line="276"/>
      </w:pPr>
      <w:r>
        <w:rPr>
          <w:rFonts w:ascii="Arial" w:cs="Arial" w:eastAsia="Arial" w:hAnsi="Arial"/>
          <w:color w:val="555555"/>
          <w:sz w:val="22"/>
          <w:szCs w:val="22"/>
        </w:rPr>
        <w:t xml:space="preserve">Notificar imediatamente o comprometimento de API keys e solicitar substituição.</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7. Provedores de Serviços Parceiros e Aprovação de Compliance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C350" w:sz="8"/>
              <w:left w:val="single" w:color="E6C350" w:sz="8"/>
              <w:bottom w:val="single" w:color="E6C350" w:sz="8"/>
              <w:right w:val="single" w:color="E6C350" w:sz="8"/>
            </w:tcBorders>
            <w:shd w:fill="EBF2FB" w:val="clear"/>
            <w:tcMar>
              <w:top w:type="dxa" w:w="120"/>
              <w:left w:type="dxa" w:w="200"/>
              <w:bottom w:type="dxa" w:w="120"/>
              <w:right w:type="dxa" w:w="200"/>
            </w:tcMar>
          </w:tcPr>
          <w:p>
            <w:pPr>
              <w:jc w:val="both"/>
            </w:pPr>
            <w:r>
              <w:rPr>
                <w:rFonts w:ascii="Arial" w:cs="Arial" w:eastAsia="Arial" w:hAnsi="Arial"/>
                <w:b/>
                <w:bCs/>
                <w:color w:val="1A3C6E"/>
                <w:sz w:val="20"/>
                <w:szCs w:val="20"/>
              </w:rPr>
              <w:t xml:space="preserve">📋  ATENÇÃO: A habilitação de determinados serviços da Clarian Finance está condicionada à aprovação do Usuário perante Provedores Parceiros (APIs). Esses provedores possuem políticas próprias de compliance e podem recusar ou cancelar o acesso sem que a Clarian possa intervir nessa decisão.</w:t>
            </w:r>
          </w:p>
        </w:tc>
      </w:tr>
    </w:tbl>
    <w:p>
      <w:pPr>
        <w:spacing w:after="60" w:before="60"/>
      </w:pPr>
      <w:r>
        <w:t xml:space="preserve"/>
      </w:r>
    </w:p>
    <w:p>
      <w:pPr>
        <w:spacing w:after="80" w:before="80" w:line="276"/>
        <w:jc w:val="both"/>
      </w:pPr>
      <w:r>
        <w:rPr>
          <w:rFonts w:ascii="Arial" w:cs="Arial" w:eastAsia="Arial" w:hAnsi="Arial"/>
          <w:color w:val="555555"/>
          <w:sz w:val="22"/>
          <w:szCs w:val="22"/>
        </w:rPr>
        <w:t xml:space="preserve">A Clarian Finance atua como hub de integração entre seus Usuários e uma rede de Provedores Parceiros licenciados (bancos, processadores de pagamento, exchanges, provedores de remessa, etc.). Para a habilitação dos serviços, o Usuário autoriza expressamente o compartilhamento de seus dados cadastrais, de compliance e transacionais com esses provedores, conforme descrito na Política de Privacidade.</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7.1. Processo de Aprovação por Provedores Parceiros</w:t>
      </w:r>
    </w:p>
    <w:p>
      <w:pPr>
        <w:pStyle w:val="ListParagraph"/>
        <w:numPr>
          <w:ilvl w:val="0"/>
          <w:numId w:val="2"/>
        </w:numPr>
        <w:spacing w:after="40" w:before="40" w:line="276"/>
      </w:pPr>
      <w:r>
        <w:rPr>
          <w:rFonts w:ascii="Arial" w:cs="Arial" w:eastAsia="Arial" w:hAnsi="Arial"/>
          <w:color w:val="555555"/>
          <w:sz w:val="22"/>
          <w:szCs w:val="22"/>
        </w:rPr>
        <w:t xml:space="preserve">A aprovação pelo Provedor Parceiro é condição para ativação de determinadas funcionalidades e pode demandar prazo adicional ao cadastro na Clarian;</w:t>
      </w:r>
    </w:p>
    <w:p>
      <w:pPr>
        <w:pStyle w:val="ListParagraph"/>
        <w:numPr>
          <w:ilvl w:val="0"/>
          <w:numId w:val="2"/>
        </w:numPr>
        <w:spacing w:after="40" w:before="40" w:line="276"/>
      </w:pPr>
      <w:r>
        <w:rPr>
          <w:rFonts w:ascii="Arial" w:cs="Arial" w:eastAsia="Arial" w:hAnsi="Arial"/>
          <w:color w:val="555555"/>
          <w:sz w:val="22"/>
          <w:szCs w:val="22"/>
        </w:rPr>
        <w:t xml:space="preserve">Cada Provedor Parceiro possui critérios próprios de elegibilidade, podendo solicitar documentação adicional, impor limites operacionais diferenciados ou recusar a habilitação;</w:t>
      </w:r>
    </w:p>
    <w:p>
      <w:pPr>
        <w:pStyle w:val="ListParagraph"/>
        <w:numPr>
          <w:ilvl w:val="0"/>
          <w:numId w:val="2"/>
        </w:numPr>
        <w:spacing w:after="40" w:before="40" w:line="276"/>
      </w:pPr>
      <w:r>
        <w:rPr>
          <w:rFonts w:ascii="Arial" w:cs="Arial" w:eastAsia="Arial" w:hAnsi="Arial"/>
          <w:color w:val="555555"/>
          <w:sz w:val="22"/>
          <w:szCs w:val="22"/>
        </w:rPr>
        <w:t xml:space="preserve">A recusa por parte de um Provedor Parceiro não implica falha ou descumprimento por parte da Clarian, que não tem controle sobre as políticas de terceiros;</w:t>
      </w:r>
    </w:p>
    <w:p>
      <w:pPr>
        <w:pStyle w:val="ListParagraph"/>
        <w:numPr>
          <w:ilvl w:val="0"/>
          <w:numId w:val="2"/>
        </w:numPr>
        <w:spacing w:after="40" w:before="40" w:line="276"/>
      </w:pPr>
      <w:r>
        <w:rPr>
          <w:rFonts w:ascii="Arial" w:cs="Arial" w:eastAsia="Arial" w:hAnsi="Arial"/>
          <w:color w:val="555555"/>
          <w:sz w:val="22"/>
          <w:szCs w:val="22"/>
        </w:rPr>
        <w:t xml:space="preserve">O Usuário poderá, a critério da Clarian, ser direcionado a provedores alternativos em caso de recusa.</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7.2. Responsabilidade sobre Serviços de Parceiros</w:t>
      </w:r>
    </w:p>
    <w:p>
      <w:pPr>
        <w:spacing w:after="80" w:before="80" w:line="276"/>
        <w:jc w:val="both"/>
      </w:pPr>
      <w:r>
        <w:rPr>
          <w:rFonts w:ascii="Arial" w:cs="Arial" w:eastAsia="Arial" w:hAnsi="Arial"/>
          <w:color w:val="555555"/>
          <w:sz w:val="22"/>
          <w:szCs w:val="22"/>
        </w:rPr>
        <w:t xml:space="preserve">A Clarian Finance atua como intermediária tecnológica e não é responsável pela disponibilidade, desempenho ou decisões tomadas pelos Provedores Parceiros. Eventuais falhas, bloqueios ou cancelamentos impostos por provedores parceiros serão comunicados ao Usuário no menor prazo possível, sem que isso gere direito a indenização por parte da Clarian.</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8. Suspensão, Bloqueio e Encerramento de Conta</w:t>
      </w:r>
    </w:p>
    <w:p>
      <w:pPr>
        <w:pStyle w:val="Heading2"/>
        <w:spacing w:after="100" w:before="240"/>
      </w:pPr>
      <w:r>
        <w:rPr>
          <w:rFonts w:ascii="Arial" w:cs="Arial" w:eastAsia="Arial" w:hAnsi="Arial"/>
          <w:b/>
          <w:bCs/>
          <w:color w:val="1A3C6E"/>
          <w:sz w:val="24"/>
          <w:szCs w:val="24"/>
        </w:rPr>
        <w:t xml:space="preserve">8.1. Pela Clarian Finance</w:t>
      </w:r>
    </w:p>
    <w:p>
      <w:pPr>
        <w:spacing w:after="80" w:before="80" w:line="276"/>
        <w:jc w:val="both"/>
      </w:pPr>
      <w:r>
        <w:rPr>
          <w:rFonts w:ascii="Arial" w:cs="Arial" w:eastAsia="Arial" w:hAnsi="Arial"/>
          <w:color w:val="555555"/>
          <w:sz w:val="22"/>
          <w:szCs w:val="22"/>
        </w:rPr>
        <w:t xml:space="preserve">A Clarian poderá, a qualquer tempo, sem aviso prévio em casos urgentes, suspender ou encerrar a Conta do Usuário nos seguintes casos:</w:t>
      </w:r>
    </w:p>
    <w:p>
      <w:pPr>
        <w:pStyle w:val="ListParagraph"/>
        <w:numPr>
          <w:ilvl w:val="0"/>
          <w:numId w:val="2"/>
        </w:numPr>
        <w:spacing w:after="40" w:before="40" w:line="276"/>
      </w:pPr>
      <w:r>
        <w:rPr>
          <w:rFonts w:ascii="Arial" w:cs="Arial" w:eastAsia="Arial" w:hAnsi="Arial"/>
          <w:color w:val="555555"/>
          <w:sz w:val="22"/>
          <w:szCs w:val="22"/>
        </w:rPr>
        <w:t xml:space="preserve">Suspeita ou confirmação de atividades ilícitas, fraudulentas ou violação destes Termos;</w:t>
      </w:r>
    </w:p>
    <w:p>
      <w:pPr>
        <w:pStyle w:val="ListParagraph"/>
        <w:numPr>
          <w:ilvl w:val="0"/>
          <w:numId w:val="2"/>
        </w:numPr>
        <w:spacing w:after="40" w:before="40" w:line="276"/>
      </w:pPr>
      <w:r>
        <w:rPr>
          <w:rFonts w:ascii="Arial" w:cs="Arial" w:eastAsia="Arial" w:hAnsi="Arial"/>
          <w:color w:val="555555"/>
          <w:sz w:val="22"/>
          <w:szCs w:val="22"/>
        </w:rPr>
        <w:t xml:space="preserve">Descumprimento de obrigações de KYC/KYB ou recusa em fornecer documentação solicitada;</w:t>
      </w:r>
    </w:p>
    <w:p>
      <w:pPr>
        <w:pStyle w:val="ListParagraph"/>
        <w:numPr>
          <w:ilvl w:val="0"/>
          <w:numId w:val="2"/>
        </w:numPr>
        <w:spacing w:after="40" w:before="40" w:line="276"/>
      </w:pPr>
      <w:r>
        <w:rPr>
          <w:rFonts w:ascii="Arial" w:cs="Arial" w:eastAsia="Arial" w:hAnsi="Arial"/>
          <w:color w:val="555555"/>
          <w:sz w:val="22"/>
          <w:szCs w:val="22"/>
        </w:rPr>
        <w:t xml:space="preserve">Determinação de autoridade regulatória, judicial ou ordem legal;</w:t>
      </w:r>
    </w:p>
    <w:p>
      <w:pPr>
        <w:pStyle w:val="ListParagraph"/>
        <w:numPr>
          <w:ilvl w:val="0"/>
          <w:numId w:val="2"/>
        </w:numPr>
        <w:spacing w:after="40" w:before="40" w:line="276"/>
      </w:pPr>
      <w:r>
        <w:rPr>
          <w:rFonts w:ascii="Arial" w:cs="Arial" w:eastAsia="Arial" w:hAnsi="Arial"/>
          <w:color w:val="555555"/>
          <w:sz w:val="22"/>
          <w:szCs w:val="22"/>
        </w:rPr>
        <w:t xml:space="preserve">Risco operacional, de compliance ou de reputação identificado pela Clarian ou por seus Provedores Parceiros;</w:t>
      </w:r>
    </w:p>
    <w:p>
      <w:pPr>
        <w:pStyle w:val="ListParagraph"/>
        <w:numPr>
          <w:ilvl w:val="0"/>
          <w:numId w:val="2"/>
        </w:numPr>
        <w:spacing w:after="40" w:before="40" w:line="276"/>
      </w:pPr>
      <w:r>
        <w:rPr>
          <w:rFonts w:ascii="Arial" w:cs="Arial" w:eastAsia="Arial" w:hAnsi="Arial"/>
          <w:color w:val="555555"/>
          <w:sz w:val="22"/>
          <w:szCs w:val="22"/>
        </w:rPr>
        <w:t xml:space="preserve">Inatividade prolongada da Conta, conforme política interna de gestão de contas;</w:t>
      </w:r>
    </w:p>
    <w:p>
      <w:pPr>
        <w:pStyle w:val="ListParagraph"/>
        <w:numPr>
          <w:ilvl w:val="0"/>
          <w:numId w:val="2"/>
        </w:numPr>
        <w:spacing w:after="40" w:before="40" w:line="276"/>
      </w:pPr>
      <w:r>
        <w:rPr>
          <w:rFonts w:ascii="Arial" w:cs="Arial" w:eastAsia="Arial" w:hAnsi="Arial"/>
          <w:color w:val="555555"/>
          <w:sz w:val="22"/>
          <w:szCs w:val="22"/>
        </w:rPr>
        <w:t xml:space="preserve">Inadimplemento de obrigações financeiras perante a Clarian.</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8.2. Pelo Usuário</w:t>
      </w:r>
    </w:p>
    <w:p>
      <w:pPr>
        <w:spacing w:after="80" w:before="80" w:line="276"/>
        <w:jc w:val="both"/>
      </w:pPr>
      <w:r>
        <w:rPr>
          <w:rFonts w:ascii="Arial" w:cs="Arial" w:eastAsia="Arial" w:hAnsi="Arial"/>
          <w:color w:val="555555"/>
          <w:sz w:val="22"/>
          <w:szCs w:val="22"/>
        </w:rPr>
        <w:t xml:space="preserve">O Usuário poderá solicitar o encerramento voluntário de sua Conta a qualquer momento, por meio dos canais de atendimento. O encerramento está sujeito à quitação de obrigações financeiras pendentes, resolução de disputas em aberto e cumprimento dos prazos de retenção de dados previstos na Política de Privacidade e na legislação aplicável.</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8.3. Efeitos do Encerramento</w:t>
      </w:r>
    </w:p>
    <w:p>
      <w:pPr>
        <w:pStyle w:val="ListParagraph"/>
        <w:numPr>
          <w:ilvl w:val="0"/>
          <w:numId w:val="2"/>
        </w:numPr>
        <w:spacing w:after="40" w:before="40" w:line="276"/>
      </w:pPr>
      <w:r>
        <w:rPr>
          <w:rFonts w:ascii="Arial" w:cs="Arial" w:eastAsia="Arial" w:hAnsi="Arial"/>
          <w:color w:val="555555"/>
          <w:sz w:val="22"/>
          <w:szCs w:val="22"/>
        </w:rPr>
        <w:t xml:space="preserve">Saldos disponíveis serão devolvidos ao Usuário, após dedução de valores devidos e verificação de compliance, no prazo de até 30 (trinta) dias corridos;</w:t>
      </w:r>
    </w:p>
    <w:p>
      <w:pPr>
        <w:pStyle w:val="ListParagraph"/>
        <w:numPr>
          <w:ilvl w:val="0"/>
          <w:numId w:val="2"/>
        </w:numPr>
        <w:spacing w:after="40" w:before="40" w:line="276"/>
      </w:pPr>
      <w:r>
        <w:rPr>
          <w:rFonts w:ascii="Arial" w:cs="Arial" w:eastAsia="Arial" w:hAnsi="Arial"/>
          <w:color w:val="555555"/>
          <w:sz w:val="22"/>
          <w:szCs w:val="22"/>
        </w:rPr>
        <w:t xml:space="preserve">Transações em andamento no momento do encerramento serão concluídas ou canceladas conforme sua natureza;</w:t>
      </w:r>
    </w:p>
    <w:p>
      <w:pPr>
        <w:pStyle w:val="ListParagraph"/>
        <w:numPr>
          <w:ilvl w:val="0"/>
          <w:numId w:val="2"/>
        </w:numPr>
        <w:spacing w:after="40" w:before="40" w:line="276"/>
      </w:pPr>
      <w:r>
        <w:rPr>
          <w:rFonts w:ascii="Arial" w:cs="Arial" w:eastAsia="Arial" w:hAnsi="Arial"/>
          <w:color w:val="555555"/>
          <w:sz w:val="22"/>
          <w:szCs w:val="22"/>
        </w:rPr>
        <w:t xml:space="preserve">O histórico de transações ficará disponível para consulta pelo Usuário durante o prazo de retenção legal.</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9. Propriedade Intelectual</w:t>
      </w:r>
    </w:p>
    <w:p>
      <w:pPr>
        <w:spacing w:after="80" w:before="80" w:line="276"/>
        <w:jc w:val="both"/>
      </w:pPr>
      <w:r>
        <w:rPr>
          <w:rFonts w:ascii="Arial" w:cs="Arial" w:eastAsia="Arial" w:hAnsi="Arial"/>
          <w:color w:val="555555"/>
          <w:sz w:val="22"/>
          <w:szCs w:val="22"/>
        </w:rPr>
        <w:t xml:space="preserve">Todos os direitos de propriedade intelectual relativos à Plataforma, incluindo, mas não se limitando a, software, código-fonte, design, logotipos, marcas, APIs, documentação técnica, algoritmos e conteúdos, são de titularidade exclusiva da Clarian Finance ou de seus licenciadores.</w:t>
      </w:r>
    </w:p>
    <w:p>
      <w:pPr>
        <w:spacing w:after="80" w:before="80" w:line="276"/>
        <w:jc w:val="both"/>
      </w:pPr>
      <w:r>
        <w:rPr>
          <w:rFonts w:ascii="Arial" w:cs="Arial" w:eastAsia="Arial" w:hAnsi="Arial"/>
          <w:color w:val="555555"/>
          <w:sz w:val="22"/>
          <w:szCs w:val="22"/>
        </w:rPr>
        <w:t xml:space="preserve">É vedado ao Usuário reproduzir, copiar, distribuir, modificar, comercializar, criar obras derivadas ou utilizar qualquer elemento da Plataforma sem autorização expressa e prévia da Clarian. O uso dos serviços não confere ao Usuário qualquer direito sobre a propriedade intelectual da Clarian, exceto a licença de uso limitada, não exclusiva e intransferível necessária à utilização dos serviços contratados.</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10. Limitação de Responsabilidade e Garantias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6C350" w:sz="8"/>
              <w:left w:val="single" w:color="E6C350" w:sz="8"/>
              <w:bottom w:val="single" w:color="E6C350" w:sz="8"/>
              <w:right w:val="single" w:color="E6C350" w:sz="8"/>
            </w:tcBorders>
            <w:shd w:fill="FFF8E1" w:val="clear"/>
            <w:tcMar>
              <w:top w:type="dxa" w:w="120"/>
              <w:left w:type="dxa" w:w="200"/>
              <w:bottom w:type="dxa" w:w="120"/>
              <w:right w:type="dxa" w:w="200"/>
            </w:tcMar>
          </w:tcPr>
          <w:p>
            <w:pPr>
              <w:jc w:val="both"/>
            </w:pPr>
            <w:r>
              <w:rPr>
                <w:rFonts w:ascii="Arial" w:cs="Arial" w:eastAsia="Arial" w:hAnsi="Arial"/>
                <w:b/>
                <w:bCs/>
                <w:color w:val="7A4F00"/>
                <w:sz w:val="20"/>
                <w:szCs w:val="20"/>
              </w:rPr>
              <w:t xml:space="preserve">⚠️  A CLARIAN FINANCE NÃO PRESTA GARANTIAS DE DISPONIBILIDADE ININTERRUPTA DA PLATAFORMA E NÃO SE RESPONSABILIZA POR PERDAS INDIRETAS, LUCROS CESSANTES OU DANOS DECORRENTES DE DECISÕES TOMADAS COM BASE NOS SERVIÇOS OFERECIDOS.</w:t>
            </w:r>
          </w:p>
        </w:tc>
      </w:tr>
    </w:tbl>
    <w:p>
      <w:pPr>
        <w:spacing w:after="60" w:before="60"/>
      </w:pPr>
      <w:r>
        <w:t xml:space="preserve"/>
      </w:r>
    </w:p>
    <w:p>
      <w:pPr>
        <w:pStyle w:val="Heading2"/>
        <w:spacing w:after="100" w:before="240"/>
      </w:pPr>
      <w:r>
        <w:rPr>
          <w:rFonts w:ascii="Arial" w:cs="Arial" w:eastAsia="Arial" w:hAnsi="Arial"/>
          <w:b/>
          <w:bCs/>
          <w:color w:val="1A3C6E"/>
          <w:sz w:val="24"/>
          <w:szCs w:val="24"/>
        </w:rPr>
        <w:t xml:space="preserve">10.1. Limitações Aplicáveis</w:t>
      </w:r>
    </w:p>
    <w:p>
      <w:pPr>
        <w:pStyle w:val="ListParagraph"/>
        <w:numPr>
          <w:ilvl w:val="0"/>
          <w:numId w:val="2"/>
        </w:numPr>
        <w:spacing w:after="40" w:before="40" w:line="276"/>
      </w:pPr>
      <w:r>
        <w:rPr>
          <w:rFonts w:ascii="Arial" w:cs="Arial" w:eastAsia="Arial" w:hAnsi="Arial"/>
          <w:color w:val="555555"/>
          <w:sz w:val="22"/>
          <w:szCs w:val="22"/>
        </w:rPr>
        <w:t xml:space="preserve">A Clarian não se responsabiliza por perdas decorrentes de oscilações no valor de criptoativos, stablecoins ou moedas estrangeiras;</w:t>
      </w:r>
    </w:p>
    <w:p>
      <w:pPr>
        <w:pStyle w:val="ListParagraph"/>
        <w:numPr>
          <w:ilvl w:val="0"/>
          <w:numId w:val="2"/>
        </w:numPr>
        <w:spacing w:after="40" w:before="40" w:line="276"/>
      </w:pPr>
      <w:r>
        <w:rPr>
          <w:rFonts w:ascii="Arial" w:cs="Arial" w:eastAsia="Arial" w:hAnsi="Arial"/>
          <w:color w:val="555555"/>
          <w:sz w:val="22"/>
          <w:szCs w:val="22"/>
        </w:rPr>
        <w:t xml:space="preserve">Falhas em infraestrutura de Provedores Parceiros, redes blockchain ou sistemas de terceiros não são de responsabilidade da Clarian;</w:t>
      </w:r>
    </w:p>
    <w:p>
      <w:pPr>
        <w:pStyle w:val="ListParagraph"/>
        <w:numPr>
          <w:ilvl w:val="0"/>
          <w:numId w:val="2"/>
        </w:numPr>
        <w:spacing w:after="40" w:before="40" w:line="276"/>
      </w:pPr>
      <w:r>
        <w:rPr>
          <w:rFonts w:ascii="Arial" w:cs="Arial" w:eastAsia="Arial" w:hAnsi="Arial"/>
          <w:color w:val="555555"/>
          <w:sz w:val="22"/>
          <w:szCs w:val="22"/>
        </w:rPr>
        <w:t xml:space="preserve">A Clarian não se responsabiliza por perdas causadas por ações do próprio Usuário, uso inadequado da Plataforma ou compartilhamento de credenciais;</w:t>
      </w:r>
    </w:p>
    <w:p>
      <w:pPr>
        <w:pStyle w:val="ListParagraph"/>
        <w:numPr>
          <w:ilvl w:val="0"/>
          <w:numId w:val="2"/>
        </w:numPr>
        <w:spacing w:after="40" w:before="40" w:line="276"/>
      </w:pPr>
      <w:r>
        <w:rPr>
          <w:rFonts w:ascii="Arial" w:cs="Arial" w:eastAsia="Arial" w:hAnsi="Arial"/>
          <w:color w:val="555555"/>
          <w:sz w:val="22"/>
          <w:szCs w:val="22"/>
        </w:rPr>
        <w:t xml:space="preserve">Em nenhuma hipótese a responsabilidade da Clarian excederá o valor das tarifas efetivamente pagas pelo Usuário nos 3 (três) meses anteriores ao evento danoso;</w:t>
      </w:r>
    </w:p>
    <w:p>
      <w:pPr>
        <w:pStyle w:val="ListParagraph"/>
        <w:numPr>
          <w:ilvl w:val="0"/>
          <w:numId w:val="2"/>
        </w:numPr>
        <w:spacing w:after="40" w:before="40" w:line="276"/>
      </w:pPr>
      <w:r>
        <w:rPr>
          <w:rFonts w:ascii="Arial" w:cs="Arial" w:eastAsia="Arial" w:hAnsi="Arial"/>
          <w:color w:val="555555"/>
          <w:sz w:val="22"/>
          <w:szCs w:val="22"/>
        </w:rPr>
        <w:t xml:space="preserve">A Clarian não oferece assessoria financeira, tributária ou jurídica; as informações disponibilizadas na Plataforma têm caráter meramente informativo.</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10.2. Força Maior</w:t>
      </w:r>
    </w:p>
    <w:p>
      <w:pPr>
        <w:spacing w:after="80" w:before="80" w:line="276"/>
        <w:jc w:val="both"/>
      </w:pPr>
      <w:r>
        <w:rPr>
          <w:rFonts w:ascii="Arial" w:cs="Arial" w:eastAsia="Arial" w:hAnsi="Arial"/>
          <w:color w:val="555555"/>
          <w:sz w:val="22"/>
          <w:szCs w:val="22"/>
        </w:rPr>
        <w:t xml:space="preserve">A Clarian não será responsável pelo descumprimento de obrigações decorrente de eventos de força maior ou caso fortuito, incluindo, entre outros: ataques cibernéticos em larga escala, desastres naturais, guerras, pandemias, decisões regulatórias emergenciais ou falhas de infraestrutura de internet fora do controle da Clarian.</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11. Compliance Regulatório e Obrigações Legais</w:t>
      </w:r>
    </w:p>
    <w:p>
      <w:pPr>
        <w:spacing w:after="80" w:before="80" w:line="276"/>
        <w:jc w:val="both"/>
      </w:pPr>
      <w:r>
        <w:rPr>
          <w:rFonts w:ascii="Arial" w:cs="Arial" w:eastAsia="Arial" w:hAnsi="Arial"/>
          <w:color w:val="555555"/>
          <w:sz w:val="22"/>
          <w:szCs w:val="22"/>
        </w:rPr>
        <w:t xml:space="preserve">A Clarian Finance opera em conformidade com a regulamentação aplicável a instituições de pagamento no Brasil, incluindo:</w:t>
      </w:r>
    </w:p>
    <w:p>
      <w:pPr>
        <w:pStyle w:val="ListParagraph"/>
        <w:numPr>
          <w:ilvl w:val="0"/>
          <w:numId w:val="2"/>
        </w:numPr>
        <w:spacing w:after="40" w:before="40" w:line="276"/>
      </w:pPr>
      <w:r>
        <w:rPr>
          <w:rFonts w:ascii="Arial" w:cs="Arial" w:eastAsia="Arial" w:hAnsi="Arial"/>
          <w:color w:val="555555"/>
          <w:sz w:val="22"/>
          <w:szCs w:val="22"/>
        </w:rPr>
        <w:t xml:space="preserve">Lei nº 12.865/2013 – Marco legal das Instituições de Pagamento;</w:t>
      </w:r>
    </w:p>
    <w:p>
      <w:pPr>
        <w:pStyle w:val="ListParagraph"/>
        <w:numPr>
          <w:ilvl w:val="0"/>
          <w:numId w:val="2"/>
        </w:numPr>
        <w:spacing w:after="40" w:before="40" w:line="276"/>
      </w:pPr>
      <w:r>
        <w:rPr>
          <w:rFonts w:ascii="Arial" w:cs="Arial" w:eastAsia="Arial" w:hAnsi="Arial"/>
          <w:color w:val="555555"/>
          <w:sz w:val="22"/>
          <w:szCs w:val="22"/>
        </w:rPr>
        <w:t xml:space="preserve">Resolução BCB nº 80/2021 e demais normas do Banco Central do Brasil;</w:t>
      </w:r>
    </w:p>
    <w:p>
      <w:pPr>
        <w:pStyle w:val="ListParagraph"/>
        <w:numPr>
          <w:ilvl w:val="0"/>
          <w:numId w:val="2"/>
        </w:numPr>
        <w:spacing w:after="40" w:before="40" w:line="276"/>
      </w:pPr>
      <w:r>
        <w:rPr>
          <w:rFonts w:ascii="Arial" w:cs="Arial" w:eastAsia="Arial" w:hAnsi="Arial"/>
          <w:color w:val="555555"/>
          <w:sz w:val="22"/>
          <w:szCs w:val="22"/>
        </w:rPr>
        <w:t xml:space="preserve">Lei nº 9.613/1998 e alterações – Prevenção à lavagem de dinheiro;</w:t>
      </w:r>
    </w:p>
    <w:p>
      <w:pPr>
        <w:pStyle w:val="ListParagraph"/>
        <w:numPr>
          <w:ilvl w:val="0"/>
          <w:numId w:val="2"/>
        </w:numPr>
        <w:spacing w:after="40" w:before="40" w:line="276"/>
      </w:pPr>
      <w:r>
        <w:rPr>
          <w:rFonts w:ascii="Arial" w:cs="Arial" w:eastAsia="Arial" w:hAnsi="Arial"/>
          <w:color w:val="555555"/>
          <w:sz w:val="22"/>
          <w:szCs w:val="22"/>
        </w:rPr>
        <w:t xml:space="preserve">Circular BCB nº 3.978/2020 – Política de prevenção à lavagem de dinheiro e ao financiamento ao terrorismo;</w:t>
      </w:r>
    </w:p>
    <w:p>
      <w:pPr>
        <w:pStyle w:val="ListParagraph"/>
        <w:numPr>
          <w:ilvl w:val="0"/>
          <w:numId w:val="2"/>
        </w:numPr>
        <w:spacing w:after="40" w:before="40" w:line="276"/>
      </w:pPr>
      <w:r>
        <w:rPr>
          <w:rFonts w:ascii="Arial" w:cs="Arial" w:eastAsia="Arial" w:hAnsi="Arial"/>
          <w:color w:val="555555"/>
          <w:sz w:val="22"/>
          <w:szCs w:val="22"/>
        </w:rPr>
        <w:t xml:space="preserve">Instrução Normativa RFB nº 1.888/2019 – Declaração de operações com criptoativos;</w:t>
      </w:r>
    </w:p>
    <w:p>
      <w:pPr>
        <w:pStyle w:val="ListParagraph"/>
        <w:numPr>
          <w:ilvl w:val="0"/>
          <w:numId w:val="2"/>
        </w:numPr>
        <w:spacing w:after="40" w:before="40" w:line="276"/>
      </w:pPr>
      <w:r>
        <w:rPr>
          <w:rFonts w:ascii="Arial" w:cs="Arial" w:eastAsia="Arial" w:hAnsi="Arial"/>
          <w:color w:val="555555"/>
          <w:sz w:val="22"/>
          <w:szCs w:val="22"/>
        </w:rPr>
        <w:t xml:space="preserve">Lei nº 13.709/2018 (LGPD) – Proteção de dados pessoais;</w:t>
      </w:r>
    </w:p>
    <w:p>
      <w:pPr>
        <w:pStyle w:val="ListParagraph"/>
        <w:numPr>
          <w:ilvl w:val="0"/>
          <w:numId w:val="2"/>
        </w:numPr>
        <w:spacing w:after="40" w:before="40" w:line="276"/>
      </w:pPr>
      <w:r>
        <w:rPr>
          <w:rFonts w:ascii="Arial" w:cs="Arial" w:eastAsia="Arial" w:hAnsi="Arial"/>
          <w:color w:val="555555"/>
          <w:sz w:val="22"/>
          <w:szCs w:val="22"/>
        </w:rPr>
        <w:t xml:space="preserve">Regulamentações internacionais aplicáveis, incluindo normas FATF/GAFI, OFAC e legislação cambial.</w:t>
      </w:r>
    </w:p>
    <w:p>
      <w:pPr>
        <w:spacing w:after="60" w:before="60"/>
      </w:pPr>
      <w:r>
        <w:t xml:space="preserve"/>
      </w:r>
    </w:p>
    <w:p>
      <w:pPr>
        <w:spacing w:after="80" w:before="80" w:line="276"/>
        <w:jc w:val="both"/>
      </w:pPr>
      <w:r>
        <w:rPr>
          <w:rFonts w:ascii="Arial" w:cs="Arial" w:eastAsia="Arial" w:hAnsi="Arial"/>
          <w:color w:val="555555"/>
          <w:sz w:val="22"/>
          <w:szCs w:val="22"/>
        </w:rPr>
        <w:t xml:space="preserve">O Usuário reconhece que a Clarian pode ser obrigada a reportar transações suspeitas ao COAF, bloquear operações por determinação regulatória ou judicial, e cooperar com investigações de autoridades competentes, sem que isso configure violação destes Termos ou da Política de Privacidade.</w:t>
      </w:r>
    </w:p>
    <w:p>
      <w:pPr>
        <w:spacing w:after="60" w:before="60"/>
      </w:pPr>
      <w:r>
        <w:t xml:space="preserve"/>
      </w:r>
    </w:p>
    <w:p>
      <w:pPr>
        <w:pStyle w:val="Heading1"/>
        <w:pBdr>
          <w:bottom w:val="single" w:color="1A3C6E" w:sz="4" w:space="6"/>
        </w:pBdr>
        <w:spacing w:after="160" w:before="340"/>
      </w:pPr>
      <w:r>
        <w:rPr>
          <w:rFonts w:ascii="Arial" w:cs="Arial" w:eastAsia="Arial" w:hAnsi="Arial"/>
          <w:b/>
          <w:bCs/>
          <w:color w:val="1A3C6E"/>
          <w:sz w:val="28"/>
          <w:szCs w:val="28"/>
        </w:rPr>
        <w:t xml:space="preserve">12. Resolução de Conflitos e Disposições Gerais</w:t>
      </w:r>
    </w:p>
    <w:p>
      <w:pPr>
        <w:pStyle w:val="Heading2"/>
        <w:spacing w:after="100" w:before="240"/>
      </w:pPr>
      <w:r>
        <w:rPr>
          <w:rFonts w:ascii="Arial" w:cs="Arial" w:eastAsia="Arial" w:hAnsi="Arial"/>
          <w:b/>
          <w:bCs/>
          <w:color w:val="1A3C6E"/>
          <w:sz w:val="24"/>
          <w:szCs w:val="24"/>
        </w:rPr>
        <w:t xml:space="preserve">12.1. Canal de Atendimento</w:t>
      </w:r>
    </w:p>
    <w:p>
      <w:pPr>
        <w:spacing w:after="80" w:before="80" w:line="276"/>
        <w:jc w:val="both"/>
      </w:pPr>
      <w:r>
        <w:rPr>
          <w:rFonts w:ascii="Arial" w:cs="Arial" w:eastAsia="Arial" w:hAnsi="Arial"/>
          <w:color w:val="555555"/>
          <w:sz w:val="22"/>
          <w:szCs w:val="22"/>
        </w:rPr>
        <w:t xml:space="preserve">O Usuário deve, em primeira instância, buscar a resolução de qualquer controvérsia diretamente com a Clarian por meio dos canais oficiais de atendimento:</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5D8F0" w:sz="1"/>
              <w:left w:val="single" w:color="C5D8F0" w:sz="1"/>
              <w:bottom w:val="single" w:color="C5D8F0" w:sz="1"/>
              <w:right w:val="single" w:color="C5D8F0" w:sz="1"/>
            </w:tcBorders>
            <w:shd w:fill="EBF2FB" w:val="clear"/>
            <w:tcMar>
              <w:top w:type="dxa" w:w="80"/>
              <w:left w:type="dxa" w:w="160"/>
              <w:bottom w:type="dxa" w:w="80"/>
              <w:right w:type="dxa" w:w="160"/>
            </w:tcMar>
          </w:tcPr>
          <w:p>
            <w:r>
              <w:rPr>
                <w:rFonts w:ascii="Arial" w:cs="Arial" w:eastAsia="Arial" w:hAnsi="Arial"/>
                <w:b/>
                <w:bCs/>
                <w:color w:val="1A3C6E"/>
                <w:sz w:val="20"/>
                <w:szCs w:val="20"/>
              </w:rPr>
              <w:t xml:space="preserve">Suporte Geral</w:t>
            </w:r>
          </w:p>
        </w:tc>
        <w:tc>
          <w:tcPr>
            <w:tcW w:type="dxa" w:w="6960"/>
            <w:tcBorders>
              <w:top w:val="single" w:color="C5D8F0" w:sz="1"/>
              <w:left w:val="single" w:color="C5D8F0" w:sz="1"/>
              <w:bottom w:val="single" w:color="C5D8F0" w:sz="1"/>
              <w:right w:val="single" w:color="C5D8F0" w:sz="1"/>
            </w:tcBorders>
            <w:tcMar>
              <w:top w:type="dxa" w:w="80"/>
              <w:left w:type="dxa" w:w="160"/>
              <w:bottom w:type="dxa" w:w="80"/>
              <w:right w:type="dxa" w:w="160"/>
            </w:tcMar>
          </w:tcPr>
          <w:p>
            <w:r>
              <w:rPr>
                <w:rFonts w:ascii="Arial" w:cs="Arial" w:eastAsia="Arial" w:hAnsi="Arial"/>
                <w:color w:val="555555"/>
                <w:sz w:val="20"/>
                <w:szCs w:val="20"/>
              </w:rPr>
              <w:t xml:space="preserve">suporte@clarian.finance</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5D8F0" w:sz="1"/>
              <w:left w:val="single" w:color="C5D8F0" w:sz="1"/>
              <w:bottom w:val="single" w:color="C5D8F0" w:sz="1"/>
              <w:right w:val="single" w:color="C5D8F0" w:sz="1"/>
            </w:tcBorders>
            <w:shd w:fill="EBF2FB" w:val="clear"/>
            <w:tcMar>
              <w:top w:type="dxa" w:w="80"/>
              <w:left w:type="dxa" w:w="160"/>
              <w:bottom w:type="dxa" w:w="80"/>
              <w:right w:type="dxa" w:w="160"/>
            </w:tcMar>
          </w:tcPr>
          <w:p>
            <w:r>
              <w:rPr>
                <w:rFonts w:ascii="Arial" w:cs="Arial" w:eastAsia="Arial" w:hAnsi="Arial"/>
                <w:b/>
                <w:bCs/>
                <w:color w:val="1A3C6E"/>
                <w:sz w:val="20"/>
                <w:szCs w:val="20"/>
              </w:rPr>
              <w:t xml:space="preserve">Compliance / Legal</w:t>
            </w:r>
          </w:p>
        </w:tc>
        <w:tc>
          <w:tcPr>
            <w:tcW w:type="dxa" w:w="6960"/>
            <w:tcBorders>
              <w:top w:val="single" w:color="C5D8F0" w:sz="1"/>
              <w:left w:val="single" w:color="C5D8F0" w:sz="1"/>
              <w:bottom w:val="single" w:color="C5D8F0" w:sz="1"/>
              <w:right w:val="single" w:color="C5D8F0" w:sz="1"/>
            </w:tcBorders>
            <w:tcMar>
              <w:top w:type="dxa" w:w="80"/>
              <w:left w:type="dxa" w:w="160"/>
              <w:bottom w:type="dxa" w:w="80"/>
              <w:right w:type="dxa" w:w="160"/>
            </w:tcMar>
          </w:tcPr>
          <w:p>
            <w:r>
              <w:rPr>
                <w:rFonts w:ascii="Arial" w:cs="Arial" w:eastAsia="Arial" w:hAnsi="Arial"/>
                <w:color w:val="555555"/>
                <w:sz w:val="20"/>
                <w:szCs w:val="20"/>
              </w:rPr>
              <w:t xml:space="preserve">compliance@clarian.finance</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5D8F0" w:sz="1"/>
              <w:left w:val="single" w:color="C5D8F0" w:sz="1"/>
              <w:bottom w:val="single" w:color="C5D8F0" w:sz="1"/>
              <w:right w:val="single" w:color="C5D8F0" w:sz="1"/>
            </w:tcBorders>
            <w:shd w:fill="EBF2FB" w:val="clear"/>
            <w:tcMar>
              <w:top w:type="dxa" w:w="80"/>
              <w:left w:type="dxa" w:w="160"/>
              <w:bottom w:type="dxa" w:w="80"/>
              <w:right w:type="dxa" w:w="160"/>
            </w:tcMar>
          </w:tcPr>
          <w:p>
            <w:r>
              <w:rPr>
                <w:rFonts w:ascii="Arial" w:cs="Arial" w:eastAsia="Arial" w:hAnsi="Arial"/>
                <w:b/>
                <w:bCs/>
                <w:color w:val="1A3C6E"/>
                <w:sz w:val="20"/>
                <w:szCs w:val="20"/>
              </w:rPr>
              <w:t xml:space="preserve">DPO / Privacidade</w:t>
            </w:r>
          </w:p>
        </w:tc>
        <w:tc>
          <w:tcPr>
            <w:tcW w:type="dxa" w:w="6960"/>
            <w:tcBorders>
              <w:top w:val="single" w:color="C5D8F0" w:sz="1"/>
              <w:left w:val="single" w:color="C5D8F0" w:sz="1"/>
              <w:bottom w:val="single" w:color="C5D8F0" w:sz="1"/>
              <w:right w:val="single" w:color="C5D8F0" w:sz="1"/>
            </w:tcBorders>
            <w:tcMar>
              <w:top w:type="dxa" w:w="80"/>
              <w:left w:type="dxa" w:w="160"/>
              <w:bottom w:type="dxa" w:w="80"/>
              <w:right w:type="dxa" w:w="160"/>
            </w:tcMar>
          </w:tcPr>
          <w:p>
            <w:r>
              <w:rPr>
                <w:rFonts w:ascii="Arial" w:cs="Arial" w:eastAsia="Arial" w:hAnsi="Arial"/>
                <w:color w:val="555555"/>
                <w:sz w:val="20"/>
                <w:szCs w:val="20"/>
              </w:rPr>
              <w:t xml:space="preserve">privacy@clarian.finance</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C5D8F0" w:sz="1"/>
              <w:left w:val="single" w:color="C5D8F0" w:sz="1"/>
              <w:bottom w:val="single" w:color="C5D8F0" w:sz="1"/>
              <w:right w:val="single" w:color="C5D8F0" w:sz="1"/>
            </w:tcBorders>
            <w:shd w:fill="EBF2FB" w:val="clear"/>
            <w:tcMar>
              <w:top w:type="dxa" w:w="80"/>
              <w:left w:type="dxa" w:w="160"/>
              <w:bottom w:type="dxa" w:w="80"/>
              <w:right w:type="dxa" w:w="160"/>
            </w:tcMar>
          </w:tcPr>
          <w:p>
            <w:r>
              <w:rPr>
                <w:rFonts w:ascii="Arial" w:cs="Arial" w:eastAsia="Arial" w:hAnsi="Arial"/>
                <w:b/>
                <w:bCs/>
                <w:color w:val="1A3C6E"/>
                <w:sz w:val="20"/>
                <w:szCs w:val="20"/>
              </w:rPr>
              <w:t xml:space="preserve">Website</w:t>
            </w:r>
          </w:p>
        </w:tc>
        <w:tc>
          <w:tcPr>
            <w:tcW w:type="dxa" w:w="6960"/>
            <w:tcBorders>
              <w:top w:val="single" w:color="C5D8F0" w:sz="1"/>
              <w:left w:val="single" w:color="C5D8F0" w:sz="1"/>
              <w:bottom w:val="single" w:color="C5D8F0" w:sz="1"/>
              <w:right w:val="single" w:color="C5D8F0" w:sz="1"/>
            </w:tcBorders>
            <w:tcMar>
              <w:top w:type="dxa" w:w="80"/>
              <w:left w:type="dxa" w:w="160"/>
              <w:bottom w:type="dxa" w:w="80"/>
              <w:right w:type="dxa" w:w="160"/>
            </w:tcMar>
          </w:tcPr>
          <w:p>
            <w:r>
              <w:rPr>
                <w:rFonts w:ascii="Arial" w:cs="Arial" w:eastAsia="Arial" w:hAnsi="Arial"/>
                <w:color w:val="555555"/>
                <w:sz w:val="20"/>
                <w:szCs w:val="20"/>
              </w:rPr>
              <w:t xml:space="preserve">https://clarian.finance</w:t>
            </w:r>
          </w:p>
        </w:tc>
      </w:tr>
    </w:tbl>
    <w:p>
      <w:pPr>
        <w:spacing w:after="60" w:before="60"/>
      </w:pPr>
      <w:r>
        <w:t xml:space="preserve"/>
      </w:r>
    </w:p>
    <w:p>
      <w:pPr>
        <w:pStyle w:val="Heading2"/>
        <w:spacing w:after="100" w:before="240"/>
      </w:pPr>
      <w:r>
        <w:rPr>
          <w:rFonts w:ascii="Arial" w:cs="Arial" w:eastAsia="Arial" w:hAnsi="Arial"/>
          <w:b/>
          <w:bCs/>
          <w:color w:val="1A3C6E"/>
          <w:sz w:val="24"/>
          <w:szCs w:val="24"/>
        </w:rPr>
        <w:t xml:space="preserve">12.2. Mediação e Arbitragem</w:t>
      </w:r>
    </w:p>
    <w:p>
      <w:pPr>
        <w:spacing w:after="80" w:before="80" w:line="276"/>
        <w:jc w:val="both"/>
      </w:pPr>
      <w:r>
        <w:rPr>
          <w:rFonts w:ascii="Arial" w:cs="Arial" w:eastAsia="Arial" w:hAnsi="Arial"/>
          <w:color w:val="555555"/>
          <w:sz w:val="22"/>
          <w:szCs w:val="22"/>
        </w:rPr>
        <w:t xml:space="preserve">As partes comprometem-se a buscar a resolução amigável de disputas antes de recorrer ao Poder Judiciário. Em caso de conflito não resolvido pela via administrativa, as partes poderão optar pela mediação ou arbitragem, conforme a Lei nº 9.307/1996 (Lei de Arbitragem) e a Lei nº 13.140/2015 (Lei de Mediação).</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12.3. Foro e Lei Aplicável</w:t>
      </w:r>
    </w:p>
    <w:p>
      <w:pPr>
        <w:spacing w:after="80" w:before="80" w:line="276"/>
        <w:jc w:val="both"/>
      </w:pPr>
      <w:r>
        <w:rPr>
          <w:rFonts w:ascii="Arial" w:cs="Arial" w:eastAsia="Arial" w:hAnsi="Arial"/>
          <w:color w:val="555555"/>
          <w:sz w:val="22"/>
          <w:szCs w:val="22"/>
        </w:rPr>
        <w:t xml:space="preserve">Estes Termos são regidos pelas leis da República Federativa do Brasil. Fica eleito o foro da Comarca de São Paulo, Estado de São Paulo, para dirimir quaisquer controvérsias oriundas destes Termos, com renúncia expressa a qualquer outro, por mais privilegiado que seja.</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12.4. Alterações dos Termos</w:t>
      </w:r>
    </w:p>
    <w:p>
      <w:pPr>
        <w:spacing w:after="80" w:before="80" w:line="276"/>
        <w:jc w:val="both"/>
      </w:pPr>
      <w:r>
        <w:rPr>
          <w:rFonts w:ascii="Arial" w:cs="Arial" w:eastAsia="Arial" w:hAnsi="Arial"/>
          <w:color w:val="555555"/>
          <w:sz w:val="22"/>
          <w:szCs w:val="22"/>
        </w:rPr>
        <w:t xml:space="preserve">A Clarian reserva-se o direito de modificar estes Termos a qualquer momento. Alterações materiais serão comunicadas ao Usuário com antecedência mínima de 30 (trinta) dias, por e-mail ou aviso na Plataforma. O uso continuado dos serviços após a vigência das novas condições constituirá aceitação tácita das alterações.</w:t>
      </w:r>
    </w:p>
    <w:p>
      <w:pPr>
        <w:spacing w:after="60" w:before="60"/>
      </w:pPr>
      <w:r>
        <w:t xml:space="preserve"/>
      </w:r>
    </w:p>
    <w:p>
      <w:pPr>
        <w:pStyle w:val="Heading2"/>
        <w:spacing w:after="100" w:before="240"/>
      </w:pPr>
      <w:r>
        <w:rPr>
          <w:rFonts w:ascii="Arial" w:cs="Arial" w:eastAsia="Arial" w:hAnsi="Arial"/>
          <w:b/>
          <w:bCs/>
          <w:color w:val="1A3C6E"/>
          <w:sz w:val="24"/>
          <w:szCs w:val="24"/>
        </w:rPr>
        <w:t xml:space="preserve">12.5. Disposições Finais</w:t>
      </w:r>
    </w:p>
    <w:p>
      <w:pPr>
        <w:pStyle w:val="ListParagraph"/>
        <w:numPr>
          <w:ilvl w:val="0"/>
          <w:numId w:val="2"/>
        </w:numPr>
        <w:spacing w:after="40" w:before="40" w:line="276"/>
      </w:pPr>
      <w:r>
        <w:rPr>
          <w:rFonts w:ascii="Arial" w:cs="Arial" w:eastAsia="Arial" w:hAnsi="Arial"/>
          <w:color w:val="555555"/>
          <w:sz w:val="22"/>
          <w:szCs w:val="22"/>
        </w:rPr>
        <w:t xml:space="preserve">Se qualquer cláusula destes Termos for declarada inválida ou inexequível, as demais permanecerão em pleno vigor;</w:t>
      </w:r>
    </w:p>
    <w:p>
      <w:pPr>
        <w:pStyle w:val="ListParagraph"/>
        <w:numPr>
          <w:ilvl w:val="0"/>
          <w:numId w:val="2"/>
        </w:numPr>
        <w:spacing w:after="40" w:before="40" w:line="276"/>
      </w:pPr>
      <w:r>
        <w:rPr>
          <w:rFonts w:ascii="Arial" w:cs="Arial" w:eastAsia="Arial" w:hAnsi="Arial"/>
          <w:color w:val="555555"/>
          <w:sz w:val="22"/>
          <w:szCs w:val="22"/>
        </w:rPr>
        <w:t xml:space="preserve">A omissão da Clarian em exercer qualquer direito previsto nestes Termos não constituirá renúncia a tal direito;</w:t>
      </w:r>
    </w:p>
    <w:p>
      <w:pPr>
        <w:pStyle w:val="ListParagraph"/>
        <w:numPr>
          <w:ilvl w:val="0"/>
          <w:numId w:val="2"/>
        </w:numPr>
        <w:spacing w:after="40" w:before="40" w:line="276"/>
      </w:pPr>
      <w:r>
        <w:rPr>
          <w:rFonts w:ascii="Arial" w:cs="Arial" w:eastAsia="Arial" w:hAnsi="Arial"/>
          <w:color w:val="555555"/>
          <w:sz w:val="22"/>
          <w:szCs w:val="22"/>
        </w:rPr>
        <w:t xml:space="preserve">Estes Termos constituem o acordo integral entre as partes em relação ao seu objeto e substituem quaisquer acordos anteriores sobre a mesma matéria;</w:t>
      </w:r>
    </w:p>
    <w:p>
      <w:pPr>
        <w:pStyle w:val="ListParagraph"/>
        <w:numPr>
          <w:ilvl w:val="0"/>
          <w:numId w:val="2"/>
        </w:numPr>
        <w:spacing w:after="40" w:before="40" w:line="276"/>
      </w:pPr>
      <w:r>
        <w:rPr>
          <w:rFonts w:ascii="Arial" w:cs="Arial" w:eastAsia="Arial" w:hAnsi="Arial"/>
          <w:color w:val="555555"/>
          <w:sz w:val="22"/>
          <w:szCs w:val="22"/>
        </w:rPr>
        <w:t xml:space="preserve">A versão em português destes Termos prevalecerá sobre eventuais traduções em caso de conflito de interpretação.</w:t>
      </w:r>
    </w:p>
    <w:p>
      <w:pPr>
        <w:spacing w:after="60" w:before="60"/>
      </w:pPr>
      <w:r>
        <w:t xml:space="preserve"/>
      </w:r>
    </w:p>
    <w:p>
      <w:pPr>
        <w:pBdr>
          <w:top w:val="single" w:color="1A3C6E" w:sz="4" w:space="6"/>
        </w:pBdr>
        <w:spacing w:after="80" w:before="480"/>
        <w:jc w:val="center"/>
      </w:pPr>
      <w:r>
        <w:rPr>
          <w:rFonts w:ascii="Arial" w:cs="Arial" w:eastAsia="Arial" w:hAnsi="Arial"/>
          <w:i/>
          <w:iCs/>
          <w:color w:val="999999"/>
          <w:sz w:val="18"/>
          <w:szCs w:val="18"/>
        </w:rPr>
        <w:t xml:space="preserve">Clarian Finance  •  clarian.finance  •  suporte@clarian.finance</w:t>
      </w:r>
    </w:p>
    <w:p>
      <w:pPr>
        <w:spacing w:after="0" w:before="0"/>
        <w:jc w:val="center"/>
      </w:pPr>
      <w:r>
        <w:rPr>
          <w:rFonts w:ascii="Arial" w:cs="Arial" w:eastAsia="Arial" w:hAnsi="Arial"/>
          <w:i/>
          <w:iCs/>
          <w:color w:val="AAAAAA"/>
          <w:sz w:val="16"/>
          <w:szCs w:val="16"/>
        </w:rPr>
        <w:t xml:space="preserve">Regulamentado pelo Banco Central do Brasil  |  Em conformidade com a LGPD (Lei nº 13.709/2018)</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A3C6E" w:sz="4" w:space="6"/>
      </w:pBdr>
      <w:tabs>
        <w:tab w:val="right" w:pos="9026"/>
      </w:tabs>
      <w:spacing w:before="120"/>
    </w:pPr>
    <w:r>
      <w:rPr>
        <w:rFonts w:ascii="Arial" w:cs="Arial" w:eastAsia="Arial" w:hAnsi="Arial"/>
        <w:color w:val="999999"/>
        <w:sz w:val="16"/>
        <w:szCs w:val="16"/>
      </w:rPr>
      <w:t xml:space="preserve">© 2025 Clarian Finance. Todos os direitos reservados.</w:t>
    </w:r>
    <w:r>
      <w:rPr>
        <w:rFonts w:ascii="Arial" w:cs="Arial" w:eastAsia="Arial" w:hAnsi="Arial"/>
        <w:color w:val="1A3C6E"/>
        <w:sz w:val="16"/>
        <w:szCs w:val="16"/>
      </w:rPr>
      <w:t xml:space="preserve">	clarian.finance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3C6E" w:sz="4" w:space="6"/>
      </w:pBdr>
      <w:spacing w:after="120" w:before="0"/>
    </w:pPr>
    <w:r>
      <w:rPr>
        <w:rFonts w:ascii="Arial" w:cs="Arial" w:eastAsia="Arial" w:hAnsi="Arial"/>
        <w:b/>
        <w:bCs/>
        <w:color w:val="1A3C6E"/>
        <w:sz w:val="18"/>
        <w:szCs w:val="18"/>
      </w:rPr>
      <w:t xml:space="preserve">Clarian Finance  |  Termos de Uso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Arial" w:cs="Arial" w:eastAsia="Arial" w:hAnsi="Arial"/>
        <w:color w:val="1A3C6E"/>
      </w:rPr>
    </w:lvl>
  </w:abstractNum>
  <w:abstractNum w:abstractNumId="3" w15:restartNumberingAfterBreak="0">
    <w:multiLevelType w:val="hybridMultilevel"/>
    <w:lvl w:ilvl="0" w15:tentative="1">
      <w:start w:val="1"/>
      <w:numFmt w:val="lowerRoman"/>
      <w:lvlText w:val="%1."/>
      <w:lvlJc w:val="left"/>
      <w:pPr>
        <w:ind w:left="720" w:hanging="360"/>
      </w:pPr>
      <w:rPr>
        <w:rFonts w:ascii="Arial" w:cs="Arial" w:eastAsia="Arial" w:hAnsi="Arial"/>
        <w:b/>
        <w:bCs/>
        <w:color w:val="1A3C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555555"/>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40"/>
      <w:outlineLvl w:val="0"/>
    </w:pPr>
    <w:rPr>
      <w:rFonts w:ascii="Arial" w:cs="Arial" w:eastAsia="Arial" w:hAnsi="Arial"/>
      <w:b/>
      <w:bCs/>
      <w:color w:val="1A3C6E"/>
      <w:sz w:val="28"/>
      <w:szCs w:val="28"/>
    </w:rPr>
  </w:style>
  <w:style w:type="paragraph" w:styleId="Heading2">
    <w:name w:val="Heading 2"/>
    <w:basedOn w:val="Normal"/>
    <w:next w:val="Normal"/>
    <w:qFormat/>
    <w:pPr>
      <w:spacing w:after="100" w:before="240"/>
      <w:outlineLvl w:val="1"/>
    </w:pPr>
    <w:rPr>
      <w:rFonts w:ascii="Arial" w:cs="Arial" w:eastAsia="Arial" w:hAnsi="Arial"/>
      <w:b/>
      <w:bCs/>
      <w:color w:val="1A3C6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2026-04-13T16:38:33.106Z</dcterms:created>
  <dcterms:modified xsi:type="dcterms:W3CDTF">2026-04-13T16:38:33.139Z</dcterms:modified>
</cp:coreProperties>
</file>

<file path=docProps/custom.xml><?xml version="1.0" encoding="utf-8"?>
<Properties xmlns="http://schemas.openxmlformats.org/officeDocument/2006/custom-properties" xmlns:vt="http://schemas.openxmlformats.org/officeDocument/2006/docPropsVTypes"/>
</file>